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cs="Arial" w:asciiTheme="majorEastAsia" w:hAnsiTheme="majorEastAsia" w:eastAsiaTheme="majorEastAsia"/>
          <w:b/>
          <w:color w:val="191919"/>
          <w:sz w:val="44"/>
          <w:szCs w:val="44"/>
        </w:rPr>
      </w:pPr>
      <w:r>
        <w:rPr>
          <w:rFonts w:hint="eastAsia" w:cs="Arial" w:asciiTheme="majorEastAsia" w:hAnsiTheme="majorEastAsia" w:eastAsiaTheme="majorEastAsia"/>
          <w:b/>
          <w:color w:val="191919"/>
          <w:sz w:val="44"/>
          <w:szCs w:val="44"/>
        </w:rPr>
        <w:t>关于征集校园景观提升设计方案的通知</w:t>
      </w:r>
    </w:p>
    <w:p>
      <w:pPr>
        <w:widowControl/>
        <w:rPr>
          <w:rFonts w:ascii="华文仿宋" w:hAnsi="华文仿宋" w:eastAsia="华文仿宋" w:cs="Arial"/>
          <w:color w:val="191919"/>
          <w:sz w:val="32"/>
          <w:szCs w:val="32"/>
        </w:rPr>
      </w:pPr>
    </w:p>
    <w:p>
      <w:pPr>
        <w:widowControl/>
        <w:ind w:firstLine="640" w:firstLineChars="2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为进一步绿化美化校园，提升校园文化建设水平，发挥校园文化育人功能，经研究，决定开展“红叶柿岩”杯校园绿地景观局部优化提升设计方案征集活动，现将实施意见通知如下：</w:t>
      </w:r>
    </w:p>
    <w:p>
      <w:pPr>
        <w:widowControl/>
        <w:ind w:firstLine="640" w:firstLineChars="200"/>
        <w:rPr>
          <w:rFonts w:ascii="黑体" w:hAnsi="黑体" w:eastAsia="黑体" w:cs="Arial"/>
          <w:color w:val="191919"/>
          <w:sz w:val="32"/>
          <w:szCs w:val="32"/>
        </w:rPr>
      </w:pPr>
      <w:r>
        <w:rPr>
          <w:rFonts w:hint="eastAsia" w:ascii="黑体" w:hAnsi="黑体" w:eastAsia="黑体" w:cs="Arial"/>
          <w:color w:val="191919"/>
          <w:sz w:val="32"/>
          <w:szCs w:val="32"/>
        </w:rPr>
        <w:t>一、活动主题</w:t>
      </w:r>
    </w:p>
    <w:p>
      <w:pPr>
        <w:widowControl/>
        <w:ind w:firstLine="640" w:firstLineChars="200"/>
        <w:rPr>
          <w:rFonts w:hint="eastAsia" w:ascii="华文仿宋" w:hAnsi="华文仿宋" w:eastAsia="华文仿宋" w:cs="Arial"/>
          <w:color w:val="191919"/>
          <w:sz w:val="32"/>
          <w:szCs w:val="32"/>
          <w:lang w:val="en-US" w:eastAsia="zh-CN"/>
        </w:rPr>
      </w:pPr>
      <w:r>
        <w:rPr>
          <w:rFonts w:hint="eastAsia" w:ascii="华文仿宋" w:hAnsi="华文仿宋" w:eastAsia="华文仿宋" w:cs="Arial"/>
          <w:color w:val="191919"/>
          <w:sz w:val="32"/>
          <w:szCs w:val="32"/>
        </w:rPr>
        <w:t>百年传承</w:t>
      </w:r>
      <w:r>
        <w:rPr>
          <w:rFonts w:hint="eastAsia" w:ascii="华文仿宋" w:hAnsi="华文仿宋" w:eastAsia="华文仿宋" w:cs="Arial"/>
          <w:color w:val="191919"/>
          <w:sz w:val="32"/>
          <w:szCs w:val="32"/>
          <w:lang w:val="en-US" w:eastAsia="zh-CN"/>
        </w:rPr>
        <w:t xml:space="preserve">  </w:t>
      </w:r>
      <w:r>
        <w:rPr>
          <w:rFonts w:hint="eastAsia" w:ascii="华文仿宋" w:hAnsi="华文仿宋" w:eastAsia="华文仿宋" w:cs="Arial"/>
          <w:color w:val="191919"/>
          <w:sz w:val="32"/>
          <w:szCs w:val="32"/>
        </w:rPr>
        <w:t>靓彩农大</w:t>
      </w:r>
      <w:r>
        <w:rPr>
          <w:rFonts w:hint="eastAsia" w:ascii="华文仿宋" w:hAnsi="华文仿宋" w:eastAsia="华文仿宋" w:cs="Arial"/>
          <w:color w:val="191919"/>
          <w:sz w:val="32"/>
          <w:szCs w:val="32"/>
          <w:lang w:val="en-US" w:eastAsia="zh-CN"/>
        </w:rPr>
        <w:t xml:space="preserve"> </w:t>
      </w:r>
    </w:p>
    <w:p>
      <w:pPr>
        <w:widowControl/>
        <w:ind w:firstLine="640" w:firstLineChars="200"/>
        <w:rPr>
          <w:rFonts w:ascii="黑体" w:hAnsi="黑体" w:eastAsia="黑体" w:cs="Arial"/>
          <w:color w:val="191919"/>
          <w:sz w:val="32"/>
          <w:szCs w:val="32"/>
        </w:rPr>
      </w:pPr>
      <w:r>
        <w:rPr>
          <w:rFonts w:hint="eastAsia" w:ascii="黑体" w:hAnsi="黑体" w:eastAsia="黑体" w:cs="Arial"/>
          <w:color w:val="191919"/>
          <w:sz w:val="32"/>
          <w:szCs w:val="32"/>
        </w:rPr>
        <w:t>二、组织机构</w:t>
      </w:r>
    </w:p>
    <w:p>
      <w:pPr>
        <w:widowControl/>
        <w:ind w:firstLine="640" w:firstLineChars="2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主办单位/征集方：山东农业大学校团委、后勤管理处</w:t>
      </w:r>
    </w:p>
    <w:p>
      <w:pPr>
        <w:widowControl/>
        <w:ind w:firstLine="640" w:firstLineChars="2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承办单位：园艺科学与工程学院、林学院</w:t>
      </w:r>
    </w:p>
    <w:p>
      <w:pPr>
        <w:widowControl/>
        <w:ind w:firstLine="640" w:firstLineChars="2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协办单位：山东华旅旅游发展有限公司、上海汇谷设计咨询有限公司</w:t>
      </w:r>
    </w:p>
    <w:p>
      <w:pPr>
        <w:widowControl/>
        <w:ind w:firstLine="640" w:firstLineChars="200"/>
        <w:rPr>
          <w:rFonts w:ascii="黑体" w:hAnsi="黑体" w:eastAsia="黑体" w:cs="Arial"/>
          <w:color w:val="191919"/>
          <w:sz w:val="32"/>
          <w:szCs w:val="32"/>
        </w:rPr>
      </w:pPr>
      <w:r>
        <w:rPr>
          <w:rFonts w:hint="eastAsia" w:ascii="黑体" w:hAnsi="黑体" w:eastAsia="黑体" w:cs="Arial"/>
          <w:color w:val="191919"/>
          <w:sz w:val="32"/>
          <w:szCs w:val="32"/>
        </w:rPr>
        <w:t>三、设计方案征集原则</w:t>
      </w:r>
    </w:p>
    <w:p>
      <w:pPr>
        <w:widowControl/>
        <w:ind w:firstLine="640" w:firstLineChars="2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（一）应征作品应积极、健康、向上，不得含有任何涉嫌民族歧视、宗教歧视以及其他有悖于公序良俗的内容，并且要符合我国法律法规的要求。</w:t>
      </w:r>
    </w:p>
    <w:p>
      <w:pPr>
        <w:widowControl/>
        <w:ind w:firstLine="640" w:firstLineChars="2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（二）应征作品必须为原创性设计，不得抄袭、仿冒或侵害他人知识产权；此前未以任何形式发表过，也未以任何方式为公众所知。</w:t>
      </w:r>
    </w:p>
    <w:p>
      <w:pPr>
        <w:widowControl/>
        <w:ind w:firstLine="640" w:firstLineChars="200"/>
        <w:rPr>
          <w:rFonts w:hint="eastAsia" w:ascii="华文仿宋" w:hAnsi="华文仿宋" w:eastAsia="华文仿宋" w:cs="Arial"/>
          <w:color w:val="191919"/>
          <w:sz w:val="32"/>
          <w:szCs w:val="32"/>
        </w:rPr>
      </w:pPr>
      <w:r>
        <w:rPr>
          <w:rFonts w:hint="eastAsia" w:ascii="华文仿宋" w:hAnsi="华文仿宋" w:eastAsia="华文仿宋" w:cs="Arial"/>
          <w:color w:val="191919"/>
          <w:sz w:val="32"/>
          <w:szCs w:val="32"/>
        </w:rPr>
        <w:t>（三）所有收到的应征作品一概不予退还，应征者自留底稿。</w:t>
      </w:r>
    </w:p>
    <w:p>
      <w:pPr>
        <w:widowControl/>
        <w:ind w:firstLine="640" w:firstLineChars="2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四）所有入围作品著作权将归属征集方所有，征集方享有对获奖作品进行再设计、生产、展示、出版、其他形式的宣传等权益，任何单位及个人未经授权不得将获奖作品进行再设计、生产、宣传、出版、展览等，不得向第三方转让著作权，投稿者一经投稿即视为认同并遵守以上规则。</w:t>
      </w:r>
    </w:p>
    <w:p>
      <w:pPr>
        <w:widowControl/>
        <w:ind w:firstLine="640" w:firstLineChars="2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（五）征集方对包括本规则在内的本次征集活动的所有文件保留最终解释权。</w:t>
      </w:r>
    </w:p>
    <w:p>
      <w:pPr>
        <w:widowControl/>
        <w:ind w:firstLine="640" w:firstLineChars="200"/>
        <w:rPr>
          <w:rFonts w:ascii="黑体" w:hAnsi="黑体" w:eastAsia="黑体" w:cs="Arial"/>
          <w:color w:val="191919"/>
          <w:sz w:val="32"/>
          <w:szCs w:val="32"/>
        </w:rPr>
      </w:pPr>
      <w:r>
        <w:rPr>
          <w:rFonts w:hint="eastAsia" w:ascii="黑体" w:hAnsi="黑体" w:eastAsia="黑体" w:cs="Arial"/>
          <w:color w:val="191919"/>
          <w:sz w:val="32"/>
          <w:szCs w:val="32"/>
        </w:rPr>
        <w:t>四、设计方案要求（见附件1）</w:t>
      </w:r>
    </w:p>
    <w:p>
      <w:pPr>
        <w:widowControl/>
        <w:ind w:firstLine="640" w:firstLineChars="200"/>
        <w:rPr>
          <w:rFonts w:ascii="黑体" w:hAnsi="黑体" w:eastAsia="黑体" w:cs="Arial"/>
          <w:color w:val="191919"/>
          <w:sz w:val="32"/>
          <w:szCs w:val="32"/>
        </w:rPr>
      </w:pPr>
      <w:r>
        <w:rPr>
          <w:rFonts w:hint="eastAsia" w:ascii="黑体" w:hAnsi="黑体" w:eastAsia="黑体" w:cs="Arial"/>
          <w:color w:val="191919"/>
          <w:sz w:val="32"/>
          <w:szCs w:val="32"/>
        </w:rPr>
        <w:t>五、设计方案评审与奖励</w:t>
      </w:r>
    </w:p>
    <w:p>
      <w:pPr>
        <w:widowControl/>
        <w:ind w:firstLine="640" w:firstLineChars="200"/>
        <w:rPr>
          <w:rFonts w:ascii="楷体" w:hAnsi="楷体" w:eastAsia="楷体" w:cs="Arial"/>
          <w:color w:val="191919"/>
          <w:sz w:val="32"/>
          <w:szCs w:val="32"/>
        </w:rPr>
      </w:pPr>
      <w:r>
        <w:rPr>
          <w:rFonts w:hint="eastAsia" w:ascii="楷体" w:hAnsi="楷体" w:eastAsia="楷体" w:cs="Arial"/>
          <w:color w:val="191919"/>
          <w:sz w:val="32"/>
          <w:szCs w:val="32"/>
        </w:rPr>
        <w:t>（一）评选流程</w:t>
      </w:r>
    </w:p>
    <w:p>
      <w:pPr>
        <w:widowControl/>
        <w:ind w:firstLine="640" w:firstLineChars="2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由本次活动评委会对参赛作品进行初审和终审，并对评审结果进行公示；</w:t>
      </w:r>
    </w:p>
    <w:p>
      <w:pPr>
        <w:widowControl/>
        <w:ind w:firstLine="640" w:firstLineChars="200"/>
        <w:rPr>
          <w:rFonts w:ascii="楷体" w:hAnsi="楷体" w:eastAsia="楷体" w:cs="Arial"/>
          <w:color w:val="191919"/>
          <w:sz w:val="32"/>
          <w:szCs w:val="32"/>
        </w:rPr>
      </w:pPr>
      <w:r>
        <w:rPr>
          <w:rFonts w:hint="eastAsia" w:ascii="楷体" w:hAnsi="楷体" w:eastAsia="楷体" w:cs="Arial"/>
          <w:color w:val="191919"/>
          <w:sz w:val="32"/>
          <w:szCs w:val="32"/>
        </w:rPr>
        <w:t>（二）奖项设置</w:t>
      </w:r>
    </w:p>
    <w:p>
      <w:pPr>
        <w:widowControl/>
        <w:ind w:firstLine="640" w:firstLineChars="200"/>
        <w:rPr>
          <w:rFonts w:hint="eastAsia" w:ascii="华文仿宋" w:hAnsi="华文仿宋" w:eastAsia="华文仿宋" w:cs="Arial"/>
          <w:color w:val="191919"/>
          <w:sz w:val="32"/>
          <w:szCs w:val="32"/>
        </w:rPr>
      </w:pPr>
      <w:r>
        <w:rPr>
          <w:rFonts w:hint="eastAsia" w:ascii="华文仿宋" w:hAnsi="华文仿宋" w:eastAsia="华文仿宋" w:cs="Arial"/>
          <w:color w:val="191919"/>
          <w:sz w:val="32"/>
          <w:szCs w:val="32"/>
        </w:rPr>
        <w:t>征集活动设置一等奖1名，奖金5000元；二等奖3名，奖金3000元；三等奖5名，奖金1000元，优秀奖若干；另设优秀指导教师奖2名</w:t>
      </w:r>
      <w:r>
        <w:rPr>
          <w:rFonts w:hint="eastAsia" w:ascii="华文仿宋" w:hAnsi="华文仿宋" w:eastAsia="华文仿宋" w:cs="Arial"/>
          <w:color w:val="191919"/>
          <w:sz w:val="32"/>
          <w:szCs w:val="32"/>
          <w:lang w:eastAsia="zh-CN"/>
        </w:rPr>
        <w:t>、</w:t>
      </w:r>
      <w:r>
        <w:rPr>
          <w:rFonts w:hint="eastAsia" w:ascii="华文仿宋" w:hAnsi="华文仿宋" w:eastAsia="华文仿宋" w:cs="Arial"/>
          <w:color w:val="191919"/>
          <w:sz w:val="32"/>
          <w:szCs w:val="32"/>
        </w:rPr>
        <w:t>优秀组织奖1名，奖金各2000元，上述奖金金额均为税前金额。</w:t>
      </w:r>
    </w:p>
    <w:p>
      <w:pPr>
        <w:widowControl/>
        <w:ind w:firstLine="640" w:firstLineChars="200"/>
        <w:rPr>
          <w:rFonts w:ascii="黑体" w:hAnsi="黑体" w:eastAsia="黑体" w:cs="Arial"/>
          <w:color w:val="191919"/>
          <w:sz w:val="32"/>
          <w:szCs w:val="32"/>
        </w:rPr>
      </w:pPr>
      <w:r>
        <w:rPr>
          <w:rFonts w:hint="eastAsia" w:ascii="黑体" w:hAnsi="黑体" w:eastAsia="黑体" w:cs="Arial"/>
          <w:color w:val="191919"/>
          <w:sz w:val="32"/>
          <w:szCs w:val="32"/>
        </w:rPr>
        <w:t>六、设计方案投稿时间与地点</w:t>
      </w:r>
    </w:p>
    <w:p>
      <w:pPr>
        <w:widowControl/>
        <w:ind w:firstLine="640" w:firstLineChars="2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投稿截止到2021年1月13日24点前。参赛者需提供报名表（见附件2）。</w:t>
      </w:r>
    </w:p>
    <w:p>
      <w:pPr>
        <w:widowControl/>
        <w:ind w:firstLine="640" w:firstLineChars="200"/>
        <w:rPr>
          <w:rFonts w:hint="eastAsia" w:ascii="华文仿宋" w:hAnsi="华文仿宋" w:eastAsia="华文仿宋" w:cs="Arial"/>
          <w:color w:val="191919"/>
          <w:sz w:val="32"/>
          <w:szCs w:val="32"/>
        </w:rPr>
      </w:pPr>
      <w:r>
        <w:rPr>
          <w:rFonts w:hint="eastAsia" w:ascii="华文仿宋" w:hAnsi="华文仿宋" w:eastAsia="华文仿宋" w:cs="Arial"/>
          <w:color w:val="191919"/>
          <w:sz w:val="32"/>
          <w:szCs w:val="32"/>
        </w:rPr>
        <w:t>设计方案交后勤管理处物业管理中心办公室，联系人：赵老师，电话：8242356，邮箱:wyglzx@sdau.edu.cn。</w:t>
      </w:r>
    </w:p>
    <w:p>
      <w:pPr>
        <w:widowControl/>
        <w:ind w:firstLine="640" w:firstLineChars="200"/>
        <w:rPr>
          <w:rFonts w:hint="eastAsia" w:ascii="华文仿宋" w:hAnsi="华文仿宋" w:eastAsia="华文仿宋" w:cs="Arial"/>
          <w:color w:val="191919"/>
          <w:sz w:val="32"/>
          <w:szCs w:val="32"/>
        </w:rPr>
      </w:pPr>
    </w:p>
    <w:p>
      <w:pPr>
        <w:widowControl/>
        <w:ind w:firstLine="640" w:firstLineChars="200"/>
        <w:rPr>
          <w:rFonts w:hint="eastAsia" w:ascii="华文仿宋" w:hAnsi="华文仿宋" w:eastAsia="华文仿宋" w:cs="Arial"/>
          <w:color w:val="191919"/>
          <w:sz w:val="32"/>
          <w:szCs w:val="32"/>
        </w:rPr>
      </w:pPr>
    </w:p>
    <w:p>
      <w:pPr>
        <w:widowControl/>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附件：</w:t>
      </w:r>
    </w:p>
    <w:p>
      <w:pPr>
        <w:widowControl/>
        <w:ind w:firstLine="640" w:firstLineChars="2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1.校园景观设计方案与参赛作品要求</w:t>
      </w:r>
    </w:p>
    <w:p>
      <w:pPr>
        <w:widowControl/>
        <w:ind w:firstLine="640" w:firstLineChars="2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2.参赛人员报名表</w:t>
      </w:r>
    </w:p>
    <w:p>
      <w:pPr>
        <w:widowControl/>
        <w:rPr>
          <w:rFonts w:ascii="华文仿宋" w:hAnsi="华文仿宋" w:eastAsia="华文仿宋" w:cs="Arial"/>
          <w:color w:val="191919"/>
          <w:sz w:val="32"/>
          <w:szCs w:val="32"/>
        </w:rPr>
      </w:pPr>
    </w:p>
    <w:p>
      <w:pPr>
        <w:widowControl/>
        <w:ind w:firstLine="5760" w:firstLineChars="18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2020年</w:t>
      </w:r>
      <w:r>
        <w:rPr>
          <w:rFonts w:hint="eastAsia" w:ascii="华文仿宋" w:hAnsi="华文仿宋" w:eastAsia="华文仿宋" w:cs="Arial"/>
          <w:color w:val="191919"/>
          <w:sz w:val="32"/>
          <w:szCs w:val="32"/>
          <w:lang w:val="en-US" w:eastAsia="zh-CN"/>
        </w:rPr>
        <w:t>12</w:t>
      </w:r>
      <w:r>
        <w:rPr>
          <w:rFonts w:hint="eastAsia" w:ascii="华文仿宋" w:hAnsi="华文仿宋" w:eastAsia="华文仿宋" w:cs="Arial"/>
          <w:color w:val="191919"/>
          <w:sz w:val="32"/>
          <w:szCs w:val="32"/>
        </w:rPr>
        <w:t>月</w:t>
      </w:r>
      <w:r>
        <w:rPr>
          <w:rFonts w:hint="eastAsia" w:ascii="华文仿宋" w:hAnsi="华文仿宋" w:eastAsia="华文仿宋" w:cs="Arial"/>
          <w:color w:val="191919"/>
          <w:sz w:val="32"/>
          <w:szCs w:val="32"/>
          <w:lang w:val="en-US" w:eastAsia="zh-CN"/>
        </w:rPr>
        <w:t>6</w:t>
      </w:r>
      <w:bookmarkStart w:id="0" w:name="_GoBack"/>
      <w:bookmarkEnd w:id="0"/>
      <w:r>
        <w:rPr>
          <w:rFonts w:hint="eastAsia" w:ascii="华文仿宋" w:hAnsi="华文仿宋" w:eastAsia="华文仿宋" w:cs="Arial"/>
          <w:color w:val="191919"/>
          <w:sz w:val="32"/>
          <w:szCs w:val="32"/>
        </w:rPr>
        <w:t>日</w:t>
      </w:r>
    </w:p>
    <w:p>
      <w:pPr>
        <w:widowControl/>
        <w:rPr>
          <w:rFonts w:ascii="华文仿宋" w:hAnsi="华文仿宋" w:eastAsia="华文仿宋" w:cs="Arial"/>
          <w:color w:val="191919"/>
          <w:sz w:val="32"/>
          <w:szCs w:val="32"/>
        </w:rPr>
      </w:pPr>
    </w:p>
    <w:p>
      <w:pPr>
        <w:widowControl/>
        <w:rPr>
          <w:rFonts w:ascii="华文仿宋" w:hAnsi="华文仿宋" w:eastAsia="华文仿宋" w:cs="Arial"/>
          <w:color w:val="191919"/>
          <w:sz w:val="32"/>
          <w:szCs w:val="32"/>
        </w:rPr>
      </w:pPr>
    </w:p>
    <w:p>
      <w:pPr>
        <w:widowControl/>
        <w:rPr>
          <w:rFonts w:ascii="华文仿宋" w:hAnsi="华文仿宋" w:eastAsia="华文仿宋" w:cs="Arial"/>
          <w:color w:val="191919"/>
          <w:sz w:val="32"/>
          <w:szCs w:val="32"/>
        </w:rPr>
      </w:pPr>
    </w:p>
    <w:p>
      <w:pPr>
        <w:widowControl/>
        <w:rPr>
          <w:rFonts w:ascii="华文仿宋" w:hAnsi="华文仿宋" w:eastAsia="华文仿宋" w:cs="Arial"/>
          <w:color w:val="191919"/>
          <w:sz w:val="32"/>
          <w:szCs w:val="32"/>
        </w:rPr>
      </w:pPr>
    </w:p>
    <w:p>
      <w:pPr>
        <w:widowControl/>
        <w:rPr>
          <w:rFonts w:ascii="华文仿宋" w:hAnsi="华文仿宋" w:eastAsia="华文仿宋" w:cs="Arial"/>
          <w:color w:val="191919"/>
          <w:sz w:val="32"/>
          <w:szCs w:val="32"/>
        </w:rPr>
      </w:pPr>
    </w:p>
    <w:p>
      <w:pPr>
        <w:widowControl/>
        <w:rPr>
          <w:rFonts w:ascii="华文仿宋" w:hAnsi="华文仿宋" w:eastAsia="华文仿宋" w:cs="Arial"/>
          <w:color w:val="191919"/>
          <w:sz w:val="32"/>
          <w:szCs w:val="32"/>
        </w:rPr>
      </w:pPr>
    </w:p>
    <w:p>
      <w:pPr>
        <w:widowControl/>
        <w:rPr>
          <w:rFonts w:ascii="华文仿宋" w:hAnsi="华文仿宋" w:eastAsia="华文仿宋" w:cs="Arial"/>
          <w:color w:val="191919"/>
          <w:sz w:val="32"/>
          <w:szCs w:val="32"/>
        </w:rPr>
      </w:pPr>
    </w:p>
    <w:p>
      <w:pPr>
        <w:widowControl/>
        <w:rPr>
          <w:rFonts w:ascii="华文仿宋" w:hAnsi="华文仿宋" w:eastAsia="华文仿宋" w:cs="Arial"/>
          <w:color w:val="191919"/>
          <w:sz w:val="32"/>
          <w:szCs w:val="32"/>
        </w:rPr>
      </w:pPr>
    </w:p>
    <w:p>
      <w:pPr>
        <w:widowControl/>
        <w:rPr>
          <w:rFonts w:ascii="华文仿宋" w:hAnsi="华文仿宋" w:eastAsia="华文仿宋" w:cs="Arial"/>
          <w:color w:val="191919"/>
          <w:sz w:val="32"/>
          <w:szCs w:val="32"/>
        </w:rPr>
      </w:pPr>
    </w:p>
    <w:p>
      <w:pPr>
        <w:widowControl/>
        <w:rPr>
          <w:rFonts w:ascii="华文仿宋" w:hAnsi="华文仿宋" w:eastAsia="华文仿宋" w:cs="Arial"/>
          <w:color w:val="191919"/>
          <w:sz w:val="32"/>
          <w:szCs w:val="32"/>
        </w:rPr>
      </w:pPr>
    </w:p>
    <w:p>
      <w:pPr>
        <w:widowControl/>
        <w:rPr>
          <w:rFonts w:ascii="华文仿宋" w:hAnsi="华文仿宋" w:eastAsia="华文仿宋" w:cs="Arial"/>
          <w:color w:val="191919"/>
          <w:sz w:val="32"/>
          <w:szCs w:val="32"/>
        </w:rPr>
      </w:pPr>
    </w:p>
    <w:p>
      <w:pPr>
        <w:widowControl/>
        <w:rPr>
          <w:rFonts w:ascii="华文仿宋" w:hAnsi="华文仿宋" w:eastAsia="华文仿宋" w:cs="Arial"/>
          <w:color w:val="191919"/>
          <w:sz w:val="32"/>
          <w:szCs w:val="32"/>
        </w:rPr>
      </w:pPr>
    </w:p>
    <w:p>
      <w:pPr>
        <w:widowControl/>
        <w:rPr>
          <w:rFonts w:ascii="华文仿宋" w:hAnsi="华文仿宋" w:eastAsia="华文仿宋" w:cs="Arial"/>
          <w:color w:val="191919"/>
          <w:sz w:val="32"/>
          <w:szCs w:val="32"/>
        </w:rPr>
      </w:pPr>
    </w:p>
    <w:p>
      <w:pPr>
        <w:widowControl/>
        <w:rPr>
          <w:rFonts w:ascii="华文仿宋" w:hAnsi="华文仿宋" w:eastAsia="华文仿宋" w:cs="Arial"/>
          <w:color w:val="191919"/>
          <w:sz w:val="32"/>
          <w:szCs w:val="32"/>
        </w:rPr>
      </w:pPr>
    </w:p>
    <w:p>
      <w:pPr>
        <w:widowControl/>
        <w:rPr>
          <w:rFonts w:ascii="华文仿宋" w:hAnsi="华文仿宋" w:eastAsia="华文仿宋" w:cs="Arial"/>
          <w:color w:val="191919"/>
          <w:sz w:val="32"/>
          <w:szCs w:val="32"/>
        </w:rPr>
      </w:pPr>
    </w:p>
    <w:p>
      <w:pPr>
        <w:widowControl/>
        <w:rPr>
          <w:rFonts w:ascii="华文仿宋" w:hAnsi="华文仿宋" w:eastAsia="华文仿宋" w:cs="Arial"/>
          <w:color w:val="191919"/>
          <w:sz w:val="32"/>
          <w:szCs w:val="32"/>
        </w:rPr>
      </w:pPr>
    </w:p>
    <w:p>
      <w:pPr>
        <w:widowControl/>
        <w:rPr>
          <w:rFonts w:ascii="华文仿宋" w:hAnsi="华文仿宋" w:eastAsia="华文仿宋" w:cs="Arial"/>
          <w:color w:val="191919"/>
          <w:sz w:val="32"/>
          <w:szCs w:val="32"/>
        </w:rPr>
      </w:pPr>
    </w:p>
    <w:p>
      <w:pPr>
        <w:widowControl/>
        <w:rPr>
          <w:rFonts w:ascii="华文仿宋" w:hAnsi="华文仿宋" w:eastAsia="华文仿宋" w:cs="Arial"/>
          <w:b/>
          <w:color w:val="191919"/>
          <w:sz w:val="32"/>
          <w:szCs w:val="32"/>
        </w:rPr>
      </w:pPr>
      <w:r>
        <w:rPr>
          <w:rFonts w:hint="eastAsia" w:ascii="华文仿宋" w:hAnsi="华文仿宋" w:eastAsia="华文仿宋" w:cs="Arial"/>
          <w:b/>
          <w:color w:val="191919"/>
          <w:sz w:val="32"/>
          <w:szCs w:val="32"/>
        </w:rPr>
        <w:t>附件1</w:t>
      </w:r>
    </w:p>
    <w:p>
      <w:pPr>
        <w:widowControl/>
        <w:jc w:val="center"/>
        <w:rPr>
          <w:rFonts w:cs="Arial" w:asciiTheme="majorEastAsia" w:hAnsiTheme="majorEastAsia" w:eastAsiaTheme="majorEastAsia"/>
          <w:b/>
          <w:color w:val="191919"/>
          <w:sz w:val="44"/>
          <w:szCs w:val="44"/>
        </w:rPr>
      </w:pPr>
      <w:r>
        <w:rPr>
          <w:rFonts w:hint="eastAsia" w:cs="Arial" w:asciiTheme="majorEastAsia" w:hAnsiTheme="majorEastAsia" w:eastAsiaTheme="majorEastAsia"/>
          <w:b/>
          <w:color w:val="191919"/>
          <w:sz w:val="44"/>
          <w:szCs w:val="44"/>
        </w:rPr>
        <w:t>校园景观提升设计方案征集要求</w:t>
      </w:r>
    </w:p>
    <w:p>
      <w:pPr>
        <w:widowControl/>
        <w:ind w:firstLine="640" w:firstLineChars="200"/>
        <w:rPr>
          <w:rFonts w:ascii="黑体" w:hAnsi="黑体" w:eastAsia="黑体" w:cs="Arial"/>
          <w:color w:val="191919"/>
          <w:sz w:val="32"/>
          <w:szCs w:val="32"/>
        </w:rPr>
      </w:pPr>
      <w:r>
        <w:rPr>
          <w:rFonts w:hint="eastAsia" w:ascii="黑体" w:hAnsi="黑体" w:eastAsia="黑体" w:cs="Arial"/>
          <w:color w:val="191919"/>
          <w:sz w:val="32"/>
          <w:szCs w:val="32"/>
        </w:rPr>
        <w:t>一、具体设计要求</w:t>
      </w:r>
    </w:p>
    <w:p>
      <w:pPr>
        <w:widowControl/>
        <w:ind w:firstLine="640" w:firstLineChars="200"/>
        <w:rPr>
          <w:rFonts w:ascii="楷体" w:hAnsi="楷体" w:eastAsia="楷体" w:cs="Arial"/>
          <w:color w:val="191919"/>
          <w:sz w:val="32"/>
          <w:szCs w:val="32"/>
        </w:rPr>
      </w:pPr>
      <w:r>
        <w:rPr>
          <w:rFonts w:hint="eastAsia" w:ascii="楷体" w:hAnsi="楷体" w:eastAsia="楷体" w:cs="Arial"/>
          <w:color w:val="191919"/>
          <w:sz w:val="32"/>
          <w:szCs w:val="32"/>
        </w:rPr>
        <w:t>（一）设计区域</w:t>
      </w:r>
    </w:p>
    <w:p>
      <w:pPr>
        <w:widowControl/>
        <w:ind w:firstLine="640" w:firstLineChars="2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1.北校区南大门至校史馆轴线两侧空间。</w:t>
      </w:r>
    </w:p>
    <w:p>
      <w:pPr>
        <w:widowControl/>
        <w:ind w:firstLine="640" w:firstLineChars="2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2.北校区北大门中心路两侧空间。</w:t>
      </w:r>
    </w:p>
    <w:p>
      <w:pPr>
        <w:widowControl/>
        <w:ind w:firstLine="640" w:firstLineChars="2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3.南校区下沉广场。</w:t>
      </w:r>
    </w:p>
    <w:p>
      <w:pPr>
        <w:widowControl/>
        <w:ind w:firstLine="640" w:firstLineChars="2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后附图纸，具体位置请参照技术图纸。（注：活动参与者获得或知悉的有关技术图纸等资料未经学校书面同意，不得用于方案征集活动之外的其他用途）</w:t>
      </w:r>
    </w:p>
    <w:p>
      <w:pPr>
        <w:widowControl/>
        <w:ind w:firstLine="640" w:firstLineChars="200"/>
        <w:rPr>
          <w:rFonts w:ascii="楷体" w:hAnsi="楷体" w:eastAsia="楷体" w:cs="Arial"/>
          <w:color w:val="191919"/>
          <w:sz w:val="32"/>
          <w:szCs w:val="32"/>
        </w:rPr>
      </w:pPr>
      <w:r>
        <w:rPr>
          <w:rFonts w:hint="eastAsia" w:ascii="楷体" w:hAnsi="楷体" w:eastAsia="楷体" w:cs="Arial"/>
          <w:color w:val="191919"/>
          <w:sz w:val="32"/>
          <w:szCs w:val="32"/>
        </w:rPr>
        <w:t>（二）设计要求</w:t>
      </w:r>
    </w:p>
    <w:p>
      <w:pPr>
        <w:widowControl/>
        <w:ind w:firstLine="640" w:firstLineChars="2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为保证设计作品的落地可行，方案制作时应具备较强的指向，并注意表现各类要素的呈现细节，突出功能区特点、季相特点、文化表现等。作品设计要求主题鲜明，空间完整，应用可操作性强，与区域空间融合度高。以下6项内容仅为提示，具体设计应根据创意自由发挥：</w:t>
      </w:r>
    </w:p>
    <w:p>
      <w:pPr>
        <w:widowControl/>
        <w:ind w:firstLine="641" w:firstLineChars="200"/>
        <w:rPr>
          <w:rFonts w:ascii="华文仿宋" w:hAnsi="华文仿宋" w:eastAsia="华文仿宋" w:cs="Arial"/>
          <w:b/>
          <w:color w:val="191919"/>
          <w:sz w:val="32"/>
          <w:szCs w:val="32"/>
        </w:rPr>
      </w:pPr>
      <w:r>
        <w:rPr>
          <w:rFonts w:hint="eastAsia" w:ascii="华文仿宋" w:hAnsi="华文仿宋" w:eastAsia="华文仿宋" w:cs="Arial"/>
          <w:b/>
          <w:color w:val="191919"/>
          <w:sz w:val="32"/>
          <w:szCs w:val="32"/>
        </w:rPr>
        <w:t>1.广场</w:t>
      </w:r>
    </w:p>
    <w:p>
      <w:pPr>
        <w:widowControl/>
        <w:ind w:firstLine="640" w:firstLineChars="2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包括位置分布、功能分区、材质选择等。</w:t>
      </w:r>
    </w:p>
    <w:p>
      <w:pPr>
        <w:widowControl/>
        <w:ind w:firstLine="641" w:firstLineChars="200"/>
        <w:rPr>
          <w:rFonts w:ascii="华文仿宋" w:hAnsi="华文仿宋" w:eastAsia="华文仿宋" w:cs="Arial"/>
          <w:b/>
          <w:color w:val="191919"/>
          <w:sz w:val="32"/>
          <w:szCs w:val="32"/>
        </w:rPr>
      </w:pPr>
      <w:r>
        <w:rPr>
          <w:rFonts w:hint="eastAsia" w:ascii="华文仿宋" w:hAnsi="华文仿宋" w:eastAsia="华文仿宋" w:cs="Arial"/>
          <w:b/>
          <w:color w:val="191919"/>
          <w:sz w:val="32"/>
          <w:szCs w:val="32"/>
        </w:rPr>
        <w:t>2.植被</w:t>
      </w:r>
    </w:p>
    <w:p>
      <w:pPr>
        <w:widowControl/>
        <w:ind w:firstLine="640" w:firstLineChars="2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包括乔、灌、草、花的种类及搭配形式等。</w:t>
      </w:r>
    </w:p>
    <w:p>
      <w:pPr>
        <w:widowControl/>
        <w:ind w:firstLine="641" w:firstLineChars="200"/>
        <w:rPr>
          <w:rFonts w:ascii="华文仿宋" w:hAnsi="华文仿宋" w:eastAsia="华文仿宋" w:cs="Arial"/>
          <w:b/>
          <w:color w:val="191919"/>
          <w:sz w:val="32"/>
          <w:szCs w:val="32"/>
        </w:rPr>
      </w:pPr>
      <w:r>
        <w:rPr>
          <w:rFonts w:hint="eastAsia" w:ascii="华文仿宋" w:hAnsi="华文仿宋" w:eastAsia="华文仿宋" w:cs="Arial"/>
          <w:b/>
          <w:color w:val="191919"/>
          <w:sz w:val="32"/>
          <w:szCs w:val="32"/>
        </w:rPr>
        <w:t>3.道路</w:t>
      </w:r>
    </w:p>
    <w:p>
      <w:pPr>
        <w:widowControl/>
        <w:ind w:firstLine="640" w:firstLineChars="2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包括铺装形式、灯光照明、绿化设施等。</w:t>
      </w:r>
    </w:p>
    <w:p>
      <w:pPr>
        <w:widowControl/>
        <w:ind w:firstLine="641" w:firstLineChars="200"/>
        <w:rPr>
          <w:rFonts w:ascii="华文仿宋" w:hAnsi="华文仿宋" w:eastAsia="华文仿宋" w:cs="Arial"/>
          <w:b/>
          <w:color w:val="191919"/>
          <w:sz w:val="32"/>
          <w:szCs w:val="32"/>
        </w:rPr>
      </w:pPr>
      <w:r>
        <w:rPr>
          <w:rFonts w:hint="eastAsia" w:ascii="华文仿宋" w:hAnsi="华文仿宋" w:eastAsia="华文仿宋" w:cs="Arial"/>
          <w:b/>
          <w:color w:val="191919"/>
          <w:sz w:val="32"/>
          <w:szCs w:val="32"/>
        </w:rPr>
        <w:t>4.雕塑</w:t>
      </w:r>
    </w:p>
    <w:p>
      <w:pPr>
        <w:widowControl/>
        <w:ind w:firstLine="640" w:firstLineChars="2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包括造型创意、材质选择、规格尺度等。</w:t>
      </w:r>
    </w:p>
    <w:p>
      <w:pPr>
        <w:widowControl/>
        <w:ind w:firstLine="641" w:firstLineChars="200"/>
        <w:rPr>
          <w:rFonts w:ascii="华文仿宋" w:hAnsi="华文仿宋" w:eastAsia="华文仿宋" w:cs="Arial"/>
          <w:b/>
          <w:color w:val="191919"/>
          <w:sz w:val="32"/>
          <w:szCs w:val="32"/>
        </w:rPr>
      </w:pPr>
      <w:r>
        <w:rPr>
          <w:rFonts w:hint="eastAsia" w:ascii="华文仿宋" w:hAnsi="华文仿宋" w:eastAsia="华文仿宋" w:cs="Arial"/>
          <w:b/>
          <w:color w:val="191919"/>
          <w:sz w:val="32"/>
          <w:szCs w:val="32"/>
        </w:rPr>
        <w:t>5.文化墙和文化长廊</w:t>
      </w:r>
    </w:p>
    <w:p>
      <w:pPr>
        <w:widowControl/>
        <w:ind w:firstLine="640" w:firstLineChars="2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包括分布位置、外观形态、呈现内容、呈现方式等。</w:t>
      </w:r>
    </w:p>
    <w:p>
      <w:pPr>
        <w:widowControl/>
        <w:ind w:firstLine="641" w:firstLineChars="200"/>
        <w:rPr>
          <w:rFonts w:ascii="华文仿宋" w:hAnsi="华文仿宋" w:eastAsia="华文仿宋" w:cs="Arial"/>
          <w:b/>
          <w:color w:val="191919"/>
          <w:sz w:val="32"/>
          <w:szCs w:val="32"/>
        </w:rPr>
      </w:pPr>
      <w:r>
        <w:rPr>
          <w:rFonts w:hint="eastAsia" w:ascii="华文仿宋" w:hAnsi="华文仿宋" w:eastAsia="华文仿宋" w:cs="Arial"/>
          <w:b/>
          <w:color w:val="191919"/>
          <w:sz w:val="32"/>
          <w:szCs w:val="32"/>
        </w:rPr>
        <w:t>6.其他景观小品</w:t>
      </w:r>
    </w:p>
    <w:p>
      <w:pPr>
        <w:widowControl/>
        <w:ind w:firstLine="640" w:firstLineChars="2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如假山、水体、廊架等。</w:t>
      </w:r>
    </w:p>
    <w:p>
      <w:pPr>
        <w:widowControl/>
        <w:ind w:firstLine="640" w:firstLineChars="200"/>
        <w:rPr>
          <w:rFonts w:ascii="黑体" w:hAnsi="黑体" w:eastAsia="黑体" w:cs="Arial"/>
          <w:color w:val="191919"/>
          <w:sz w:val="32"/>
          <w:szCs w:val="32"/>
        </w:rPr>
      </w:pPr>
      <w:r>
        <w:rPr>
          <w:rFonts w:hint="eastAsia" w:ascii="黑体" w:hAnsi="黑体" w:eastAsia="黑体" w:cs="Arial"/>
          <w:color w:val="191919"/>
          <w:sz w:val="32"/>
          <w:szCs w:val="32"/>
        </w:rPr>
        <w:t>二、参赛作品提交要求</w:t>
      </w:r>
    </w:p>
    <w:p>
      <w:pPr>
        <w:widowControl/>
        <w:ind w:firstLine="640" w:firstLineChars="200"/>
        <w:rPr>
          <w:rFonts w:ascii="楷体" w:hAnsi="楷体" w:eastAsia="楷体" w:cs="Arial"/>
          <w:color w:val="191919"/>
          <w:sz w:val="32"/>
          <w:szCs w:val="32"/>
        </w:rPr>
      </w:pPr>
      <w:r>
        <w:rPr>
          <w:rFonts w:hint="eastAsia" w:ascii="楷体" w:hAnsi="楷体" w:eastAsia="楷体" w:cs="Arial"/>
          <w:color w:val="191919"/>
          <w:sz w:val="32"/>
          <w:szCs w:val="32"/>
        </w:rPr>
        <w:t>（一）投稿作品需为原创，杜绝抄袭、剽窃，并符合竞赛主题及相关设计要求。</w:t>
      </w:r>
    </w:p>
    <w:p>
      <w:pPr>
        <w:widowControl/>
        <w:ind w:firstLine="640" w:firstLineChars="200"/>
        <w:rPr>
          <w:rFonts w:ascii="楷体" w:hAnsi="楷体" w:eastAsia="楷体" w:cs="Arial"/>
          <w:color w:val="191919"/>
          <w:sz w:val="32"/>
          <w:szCs w:val="32"/>
        </w:rPr>
      </w:pPr>
      <w:r>
        <w:rPr>
          <w:rFonts w:hint="eastAsia" w:ascii="楷体" w:hAnsi="楷体" w:eastAsia="楷体" w:cs="Arial"/>
          <w:color w:val="191919"/>
          <w:sz w:val="32"/>
          <w:szCs w:val="32"/>
        </w:rPr>
        <w:t>（二）初审作品提交要求</w:t>
      </w:r>
    </w:p>
    <w:p>
      <w:pPr>
        <w:widowControl/>
        <w:ind w:firstLine="640" w:firstLineChars="2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1.作品内容全部排版在一张图纸上，含必要的设计图和说明文字。图像文件采用JPG格式，100％打印时版面为120cm宽×180cm高（竖向构图）。图纸扫描与图文排版时按300pixels/inch；</w:t>
      </w:r>
    </w:p>
    <w:p>
      <w:pPr>
        <w:widowControl/>
        <w:ind w:firstLine="640" w:firstLineChars="2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2.设计图纸具体要求</w:t>
      </w:r>
    </w:p>
    <w:p>
      <w:pPr>
        <w:widowControl/>
        <w:ind w:firstLine="640" w:firstLineChars="2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（1）单体方案设计（如雕塑、廊架、景墙等）：需提供三视图（正视、俯视、侧视）、效果图、设计说明等。</w:t>
      </w:r>
    </w:p>
    <w:p>
      <w:pPr>
        <w:widowControl/>
        <w:ind w:firstLine="640" w:firstLineChars="2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（2）景观方案设计：需提供平面图、功能分区图、立面图、效果图、设计说明等。</w:t>
      </w:r>
    </w:p>
    <w:p>
      <w:pPr>
        <w:widowControl/>
        <w:ind w:firstLine="640" w:firstLineChars="2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3.初评时所提交方案以体现设计构思、设计意向为主，初审结果公示后，入围作品可再对方案细节继续深化。</w:t>
      </w:r>
    </w:p>
    <w:p>
      <w:pPr>
        <w:widowControl/>
        <w:ind w:firstLine="640" w:firstLineChars="200"/>
        <w:rPr>
          <w:rFonts w:ascii="楷体" w:hAnsi="楷体" w:eastAsia="楷体" w:cs="Arial"/>
          <w:color w:val="191919"/>
          <w:sz w:val="32"/>
          <w:szCs w:val="32"/>
        </w:rPr>
      </w:pPr>
      <w:r>
        <w:rPr>
          <w:rFonts w:hint="eastAsia" w:ascii="楷体" w:hAnsi="楷体" w:eastAsia="楷体" w:cs="Arial"/>
          <w:color w:val="191919"/>
          <w:sz w:val="32"/>
          <w:szCs w:val="32"/>
        </w:rPr>
        <w:t>（三）终审作品提交要求</w:t>
      </w:r>
    </w:p>
    <w:p>
      <w:pPr>
        <w:widowControl/>
        <w:ind w:firstLine="640" w:firstLineChars="2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1.作品内容全部排版在一张图纸上，含必要的设计图和说明文字。图像文件采用JPG格式，100％打印时版面为120cm宽×180cm高（竖向构图）。图纸扫描与图文排版时按300pixels/inch。</w:t>
      </w:r>
    </w:p>
    <w:p>
      <w:pPr>
        <w:widowControl/>
        <w:ind w:firstLine="640" w:firstLineChars="2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2.设计图纸具体要求</w:t>
      </w:r>
    </w:p>
    <w:p>
      <w:pPr>
        <w:widowControl/>
        <w:ind w:firstLine="640" w:firstLineChars="2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（1）单体方案设计（如雕塑、廊架、景墙等）：需提供最终定稿的三视图（正视、俯视、侧视）、效果图（不少于2个视角）、设计说明等。</w:t>
      </w:r>
    </w:p>
    <w:p>
      <w:pPr>
        <w:widowControl/>
        <w:ind w:firstLine="640" w:firstLineChars="2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（2）景观方案设计：需提供最终定稿的平面图、功能分区图、分析图（如交通流线分析等）、立面图、效果图（不少于2个视角）、植物配置图、设计说明等。</w:t>
      </w:r>
    </w:p>
    <w:p>
      <w:pPr>
        <w:widowControl/>
        <w:ind w:firstLine="640" w:firstLineChars="2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3.终评所提交方案应为接近施工水准的完整作品。</w:t>
      </w:r>
    </w:p>
    <w:p>
      <w:pPr>
        <w:widowControl/>
        <w:ind w:firstLine="640" w:firstLineChars="200"/>
        <w:rPr>
          <w:rFonts w:ascii="楷体" w:hAnsi="楷体" w:eastAsia="楷体" w:cs="Arial"/>
          <w:color w:val="191919"/>
          <w:sz w:val="32"/>
          <w:szCs w:val="32"/>
        </w:rPr>
      </w:pPr>
      <w:r>
        <w:rPr>
          <w:rFonts w:hint="eastAsia" w:ascii="楷体" w:hAnsi="楷体" w:eastAsia="楷体" w:cs="Arial"/>
          <w:color w:val="191919"/>
          <w:sz w:val="32"/>
          <w:szCs w:val="32"/>
        </w:rPr>
        <w:t>（四）设计方案提交要求</w:t>
      </w:r>
    </w:p>
    <w:p>
      <w:pPr>
        <w:widowControl/>
        <w:ind w:firstLine="640" w:firstLineChars="200"/>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两次评选均需提交电子文件，并注明所在院系、参赛人员姓名、联系方式、指导教师（校外作品需提供设计师简介、单位名称、联系方式等）。</w:t>
      </w:r>
    </w:p>
    <w:p>
      <w:pPr>
        <w:widowControl/>
        <w:rPr>
          <w:rFonts w:ascii="华文仿宋" w:hAnsi="华文仿宋" w:eastAsia="华文仿宋" w:cs="Arial"/>
          <w:color w:val="191919"/>
          <w:sz w:val="32"/>
          <w:szCs w:val="32"/>
        </w:rPr>
      </w:pPr>
    </w:p>
    <w:p>
      <w:pPr>
        <w:widowControl/>
        <w:rPr>
          <w:rFonts w:ascii="华文仿宋" w:hAnsi="华文仿宋" w:eastAsia="华文仿宋" w:cs="Arial"/>
          <w:color w:val="191919"/>
          <w:sz w:val="32"/>
          <w:szCs w:val="32"/>
        </w:rPr>
      </w:pPr>
    </w:p>
    <w:p>
      <w:pPr>
        <w:widowControl/>
        <w:rPr>
          <w:rFonts w:ascii="华文仿宋" w:hAnsi="华文仿宋" w:eastAsia="华文仿宋" w:cs="Arial"/>
          <w:color w:val="191919"/>
          <w:sz w:val="32"/>
          <w:szCs w:val="32"/>
        </w:rPr>
      </w:pPr>
    </w:p>
    <w:p>
      <w:pPr>
        <w:widowControl/>
        <w:rPr>
          <w:rFonts w:ascii="华文仿宋" w:hAnsi="华文仿宋" w:eastAsia="华文仿宋" w:cs="Arial"/>
          <w:color w:val="191919"/>
          <w:sz w:val="32"/>
          <w:szCs w:val="32"/>
        </w:rPr>
      </w:pPr>
    </w:p>
    <w:p>
      <w:pPr>
        <w:widowControl/>
        <w:rPr>
          <w:rFonts w:ascii="华文仿宋" w:hAnsi="华文仿宋" w:eastAsia="华文仿宋" w:cs="Arial"/>
          <w:color w:val="191919"/>
          <w:sz w:val="32"/>
          <w:szCs w:val="32"/>
        </w:rPr>
      </w:pPr>
    </w:p>
    <w:p>
      <w:pPr>
        <w:widowControl/>
        <w:rPr>
          <w:rFonts w:ascii="华文仿宋" w:hAnsi="华文仿宋" w:eastAsia="华文仿宋" w:cs="Arial"/>
          <w:color w:val="191919"/>
          <w:sz w:val="32"/>
          <w:szCs w:val="32"/>
        </w:rPr>
      </w:pPr>
    </w:p>
    <w:p>
      <w:pPr>
        <w:widowControl/>
        <w:rPr>
          <w:rFonts w:ascii="华文仿宋" w:hAnsi="华文仿宋" w:eastAsia="华文仿宋" w:cs="Arial"/>
          <w:color w:val="191919"/>
          <w:sz w:val="32"/>
          <w:szCs w:val="32"/>
        </w:rPr>
      </w:pPr>
    </w:p>
    <w:p>
      <w:pPr>
        <w:widowControl/>
        <w:rPr>
          <w:rFonts w:ascii="华文仿宋" w:hAnsi="华文仿宋" w:eastAsia="华文仿宋" w:cs="Arial"/>
          <w:color w:val="191919"/>
          <w:sz w:val="32"/>
          <w:szCs w:val="32"/>
        </w:rPr>
      </w:pPr>
      <w:r>
        <w:rPr>
          <w:rFonts w:ascii="华文仿宋" w:hAnsi="华文仿宋" w:eastAsia="华文仿宋" w:cs="Arial"/>
          <w:color w:val="191919"/>
          <w:sz w:val="32"/>
          <w:szCs w:val="32"/>
        </w:rPr>
        <w:t> </w:t>
      </w:r>
      <w:r>
        <w:rPr>
          <w:rFonts w:hint="eastAsia" w:ascii="华文仿宋" w:hAnsi="华文仿宋" w:eastAsia="华文仿宋" w:cs="Arial"/>
          <w:color w:val="191919"/>
          <w:sz w:val="32"/>
          <w:szCs w:val="32"/>
        </w:rPr>
        <w:t>附件2</w:t>
      </w:r>
    </w:p>
    <w:p>
      <w:pPr>
        <w:widowControl/>
        <w:jc w:val="center"/>
        <w:rPr>
          <w:rFonts w:cs="Arial" w:asciiTheme="majorEastAsia" w:hAnsiTheme="majorEastAsia" w:eastAsiaTheme="majorEastAsia"/>
          <w:b/>
          <w:color w:val="191919"/>
          <w:sz w:val="44"/>
          <w:szCs w:val="44"/>
        </w:rPr>
      </w:pPr>
      <w:r>
        <w:rPr>
          <w:rFonts w:hint="eastAsia" w:cs="Arial" w:asciiTheme="majorEastAsia" w:hAnsiTheme="majorEastAsia" w:eastAsiaTheme="majorEastAsia"/>
          <w:b/>
          <w:color w:val="191919"/>
          <w:sz w:val="44"/>
          <w:szCs w:val="44"/>
        </w:rPr>
        <w:t>参赛人员报名表</w:t>
      </w:r>
    </w:p>
    <w:p>
      <w:pPr>
        <w:widowControl/>
        <w:jc w:val="center"/>
        <w:rPr>
          <w:rFonts w:ascii="华文仿宋" w:hAnsi="华文仿宋" w:eastAsia="华文仿宋" w:cs="Arial"/>
          <w:color w:val="191919"/>
          <w:sz w:val="32"/>
          <w:szCs w:val="32"/>
        </w:rPr>
      </w:pP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434"/>
        <w:gridCol w:w="4376"/>
        <w:gridCol w:w="122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24" w:hRule="atLeast"/>
          <w:jc w:val="center"/>
        </w:trPr>
        <w:tc>
          <w:tcPr>
            <w:tcW w:w="2434" w:type="dxa"/>
            <w:vAlign w:val="center"/>
          </w:tcPr>
          <w:p>
            <w:pPr>
              <w:widowControl/>
              <w:jc w:val="center"/>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参赛者姓名</w:t>
            </w:r>
          </w:p>
        </w:tc>
        <w:tc>
          <w:tcPr>
            <w:tcW w:w="4376" w:type="dxa"/>
            <w:vAlign w:val="center"/>
          </w:tcPr>
          <w:p>
            <w:pPr>
              <w:widowControl/>
              <w:jc w:val="left"/>
              <w:rPr>
                <w:rFonts w:ascii="华文仿宋" w:hAnsi="华文仿宋" w:eastAsia="华文仿宋" w:cs="Arial"/>
                <w:color w:val="191919"/>
                <w:sz w:val="32"/>
                <w:szCs w:val="32"/>
              </w:rPr>
            </w:pPr>
          </w:p>
        </w:tc>
        <w:tc>
          <w:tcPr>
            <w:tcW w:w="1224" w:type="dxa"/>
            <w:vAlign w:val="center"/>
          </w:tcPr>
          <w:p>
            <w:pPr>
              <w:widowControl/>
              <w:jc w:val="center"/>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42" w:hRule="atLeast"/>
          <w:jc w:val="center"/>
        </w:trPr>
        <w:tc>
          <w:tcPr>
            <w:tcW w:w="2434" w:type="dxa"/>
            <w:vAlign w:val="center"/>
          </w:tcPr>
          <w:p>
            <w:pPr>
              <w:widowControl/>
              <w:jc w:val="center"/>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所在单位</w:t>
            </w:r>
          </w:p>
        </w:tc>
        <w:tc>
          <w:tcPr>
            <w:tcW w:w="4376" w:type="dxa"/>
            <w:vAlign w:val="center"/>
          </w:tcPr>
          <w:p>
            <w:pPr>
              <w:widowControl/>
              <w:jc w:val="left"/>
              <w:rPr>
                <w:rFonts w:ascii="华文仿宋" w:hAnsi="华文仿宋" w:eastAsia="华文仿宋" w:cs="Arial"/>
                <w:color w:val="191919"/>
                <w:sz w:val="32"/>
                <w:szCs w:val="32"/>
              </w:rPr>
            </w:pPr>
          </w:p>
        </w:tc>
        <w:tc>
          <w:tcPr>
            <w:tcW w:w="1224" w:type="dxa"/>
            <w:vAlign w:val="center"/>
          </w:tcPr>
          <w:p>
            <w:pPr>
              <w:widowControl/>
              <w:jc w:val="center"/>
              <w:rPr>
                <w:rFonts w:ascii="华文仿宋" w:hAnsi="华文仿宋" w:eastAsia="华文仿宋" w:cs="Arial"/>
                <w:color w:val="191919"/>
                <w:sz w:val="32"/>
                <w:szCs w:val="32"/>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42" w:hRule="atLeast"/>
          <w:jc w:val="center"/>
        </w:trPr>
        <w:tc>
          <w:tcPr>
            <w:tcW w:w="2434" w:type="dxa"/>
            <w:vAlign w:val="center"/>
          </w:tcPr>
          <w:p>
            <w:pPr>
              <w:widowControl/>
              <w:jc w:val="center"/>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作品名称</w:t>
            </w:r>
          </w:p>
        </w:tc>
        <w:tc>
          <w:tcPr>
            <w:tcW w:w="4376" w:type="dxa"/>
            <w:vAlign w:val="center"/>
          </w:tcPr>
          <w:p>
            <w:pPr>
              <w:widowControl/>
              <w:jc w:val="left"/>
              <w:rPr>
                <w:rFonts w:ascii="华文仿宋" w:hAnsi="华文仿宋" w:eastAsia="华文仿宋" w:cs="Arial"/>
                <w:color w:val="191919"/>
                <w:sz w:val="32"/>
                <w:szCs w:val="32"/>
              </w:rPr>
            </w:pPr>
          </w:p>
        </w:tc>
        <w:tc>
          <w:tcPr>
            <w:tcW w:w="1224" w:type="dxa"/>
            <w:vAlign w:val="center"/>
          </w:tcPr>
          <w:p>
            <w:pPr>
              <w:widowControl/>
              <w:jc w:val="center"/>
              <w:rPr>
                <w:rFonts w:ascii="华文仿宋" w:hAnsi="华文仿宋" w:eastAsia="华文仿宋" w:cs="Arial"/>
                <w:color w:val="191919"/>
                <w:sz w:val="32"/>
                <w:szCs w:val="32"/>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30" w:hRule="atLeast"/>
          <w:jc w:val="center"/>
        </w:trPr>
        <w:tc>
          <w:tcPr>
            <w:tcW w:w="2434" w:type="dxa"/>
            <w:vMerge w:val="restart"/>
            <w:vAlign w:val="center"/>
          </w:tcPr>
          <w:p>
            <w:pPr>
              <w:widowControl/>
              <w:jc w:val="center"/>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设计区域</w:t>
            </w:r>
          </w:p>
        </w:tc>
        <w:tc>
          <w:tcPr>
            <w:tcW w:w="4376" w:type="dxa"/>
            <w:vAlign w:val="center"/>
          </w:tcPr>
          <w:p>
            <w:pPr>
              <w:widowControl/>
              <w:jc w:val="left"/>
              <w:rPr>
                <w:rFonts w:ascii="华文仿宋" w:hAnsi="华文仿宋" w:eastAsia="华文仿宋" w:cs="Arial"/>
                <w:color w:val="191919"/>
                <w:sz w:val="32"/>
                <w:szCs w:val="32"/>
              </w:rPr>
            </w:pPr>
          </w:p>
          <w:p>
            <w:pPr>
              <w:widowControl/>
              <w:jc w:val="left"/>
              <w:rPr>
                <w:rFonts w:ascii="华文仿宋" w:hAnsi="华文仿宋" w:eastAsia="华文仿宋" w:cs="Arial"/>
                <w:color w:val="191919"/>
                <w:sz w:val="32"/>
                <w:szCs w:val="32"/>
              </w:rPr>
            </w:pPr>
          </w:p>
        </w:tc>
        <w:tc>
          <w:tcPr>
            <w:tcW w:w="1224" w:type="dxa"/>
            <w:vAlign w:val="center"/>
          </w:tcPr>
          <w:p>
            <w:pPr>
              <w:widowControl/>
              <w:jc w:val="center"/>
              <w:rPr>
                <w:rFonts w:ascii="华文仿宋" w:hAnsi="华文仿宋" w:eastAsia="华文仿宋" w:cs="Arial"/>
                <w:color w:val="191919"/>
                <w:sz w:val="32"/>
                <w:szCs w:val="32"/>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40" w:hRule="atLeast"/>
          <w:jc w:val="center"/>
        </w:trPr>
        <w:tc>
          <w:tcPr>
            <w:tcW w:w="2434" w:type="dxa"/>
            <w:vMerge w:val="continue"/>
            <w:vAlign w:val="center"/>
          </w:tcPr>
          <w:p>
            <w:pPr>
              <w:widowControl/>
              <w:jc w:val="center"/>
              <w:rPr>
                <w:rFonts w:ascii="华文仿宋" w:hAnsi="华文仿宋" w:eastAsia="华文仿宋" w:cs="Arial"/>
                <w:color w:val="191919"/>
                <w:sz w:val="32"/>
                <w:szCs w:val="32"/>
              </w:rPr>
            </w:pPr>
          </w:p>
        </w:tc>
        <w:tc>
          <w:tcPr>
            <w:tcW w:w="4376" w:type="dxa"/>
            <w:vAlign w:val="center"/>
          </w:tcPr>
          <w:p>
            <w:pPr>
              <w:widowControl/>
              <w:jc w:val="left"/>
              <w:rPr>
                <w:rFonts w:ascii="华文仿宋" w:hAnsi="华文仿宋" w:eastAsia="华文仿宋" w:cs="Arial"/>
                <w:color w:val="191919"/>
                <w:sz w:val="32"/>
                <w:szCs w:val="32"/>
              </w:rPr>
            </w:pPr>
          </w:p>
          <w:p>
            <w:pPr>
              <w:widowControl/>
              <w:jc w:val="left"/>
              <w:rPr>
                <w:rFonts w:ascii="华文仿宋" w:hAnsi="华文仿宋" w:eastAsia="华文仿宋" w:cs="Arial"/>
                <w:color w:val="191919"/>
                <w:sz w:val="32"/>
                <w:szCs w:val="32"/>
              </w:rPr>
            </w:pPr>
          </w:p>
        </w:tc>
        <w:tc>
          <w:tcPr>
            <w:tcW w:w="1224" w:type="dxa"/>
            <w:vAlign w:val="center"/>
          </w:tcPr>
          <w:p>
            <w:pPr>
              <w:widowControl/>
              <w:jc w:val="center"/>
              <w:rPr>
                <w:rFonts w:ascii="华文仿宋" w:hAnsi="华文仿宋" w:eastAsia="华文仿宋" w:cs="Arial"/>
                <w:color w:val="191919"/>
                <w:sz w:val="32"/>
                <w:szCs w:val="32"/>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40" w:hRule="atLeast"/>
          <w:jc w:val="center"/>
        </w:trPr>
        <w:tc>
          <w:tcPr>
            <w:tcW w:w="2434" w:type="dxa"/>
            <w:vMerge w:val="continue"/>
            <w:vAlign w:val="center"/>
          </w:tcPr>
          <w:p>
            <w:pPr>
              <w:widowControl/>
              <w:jc w:val="center"/>
              <w:rPr>
                <w:rFonts w:ascii="华文仿宋" w:hAnsi="华文仿宋" w:eastAsia="华文仿宋" w:cs="Arial"/>
                <w:color w:val="191919"/>
                <w:sz w:val="32"/>
                <w:szCs w:val="32"/>
              </w:rPr>
            </w:pPr>
          </w:p>
        </w:tc>
        <w:tc>
          <w:tcPr>
            <w:tcW w:w="4376" w:type="dxa"/>
            <w:vAlign w:val="center"/>
          </w:tcPr>
          <w:p>
            <w:pPr>
              <w:widowControl/>
              <w:jc w:val="left"/>
              <w:rPr>
                <w:rFonts w:ascii="华文仿宋" w:hAnsi="华文仿宋" w:eastAsia="华文仿宋" w:cs="Arial"/>
                <w:color w:val="191919"/>
                <w:sz w:val="32"/>
                <w:szCs w:val="32"/>
              </w:rPr>
            </w:pPr>
          </w:p>
          <w:p>
            <w:pPr>
              <w:widowControl/>
              <w:jc w:val="left"/>
              <w:rPr>
                <w:rFonts w:ascii="华文仿宋" w:hAnsi="华文仿宋" w:eastAsia="华文仿宋" w:cs="Arial"/>
                <w:color w:val="191919"/>
                <w:sz w:val="32"/>
                <w:szCs w:val="32"/>
              </w:rPr>
            </w:pPr>
          </w:p>
        </w:tc>
        <w:tc>
          <w:tcPr>
            <w:tcW w:w="1224" w:type="dxa"/>
            <w:vAlign w:val="center"/>
          </w:tcPr>
          <w:p>
            <w:pPr>
              <w:widowControl/>
              <w:jc w:val="center"/>
              <w:rPr>
                <w:rFonts w:ascii="华文仿宋" w:hAnsi="华文仿宋" w:eastAsia="华文仿宋" w:cs="Arial"/>
                <w:color w:val="191919"/>
                <w:sz w:val="32"/>
                <w:szCs w:val="32"/>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42" w:hRule="atLeast"/>
          <w:jc w:val="center"/>
        </w:trPr>
        <w:tc>
          <w:tcPr>
            <w:tcW w:w="2434" w:type="dxa"/>
            <w:vAlign w:val="center"/>
          </w:tcPr>
          <w:p>
            <w:pPr>
              <w:widowControl/>
              <w:jc w:val="center"/>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指导老师</w:t>
            </w:r>
          </w:p>
        </w:tc>
        <w:tc>
          <w:tcPr>
            <w:tcW w:w="4376" w:type="dxa"/>
            <w:vAlign w:val="center"/>
          </w:tcPr>
          <w:p>
            <w:pPr>
              <w:widowControl/>
              <w:jc w:val="left"/>
              <w:rPr>
                <w:rFonts w:ascii="华文仿宋" w:hAnsi="华文仿宋" w:eastAsia="华文仿宋" w:cs="Arial"/>
                <w:color w:val="191919"/>
                <w:sz w:val="32"/>
                <w:szCs w:val="32"/>
              </w:rPr>
            </w:pPr>
          </w:p>
        </w:tc>
        <w:tc>
          <w:tcPr>
            <w:tcW w:w="1224" w:type="dxa"/>
            <w:vAlign w:val="center"/>
          </w:tcPr>
          <w:p>
            <w:pPr>
              <w:widowControl/>
              <w:jc w:val="center"/>
              <w:rPr>
                <w:rFonts w:ascii="华文仿宋" w:hAnsi="华文仿宋" w:eastAsia="华文仿宋" w:cs="Arial"/>
                <w:color w:val="191919"/>
                <w:sz w:val="32"/>
                <w:szCs w:val="32"/>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42" w:hRule="atLeast"/>
          <w:jc w:val="center"/>
        </w:trPr>
        <w:tc>
          <w:tcPr>
            <w:tcW w:w="2434" w:type="dxa"/>
            <w:vAlign w:val="center"/>
          </w:tcPr>
          <w:p>
            <w:pPr>
              <w:widowControl/>
              <w:jc w:val="center"/>
              <w:rPr>
                <w:rFonts w:ascii="华文仿宋" w:hAnsi="华文仿宋" w:eastAsia="华文仿宋" w:cs="Arial"/>
                <w:color w:val="191919"/>
                <w:sz w:val="32"/>
                <w:szCs w:val="32"/>
              </w:rPr>
            </w:pPr>
            <w:r>
              <w:rPr>
                <w:rFonts w:hint="eastAsia" w:ascii="华文仿宋" w:hAnsi="华文仿宋" w:eastAsia="华文仿宋" w:cs="Arial"/>
                <w:color w:val="191919"/>
                <w:sz w:val="32"/>
                <w:szCs w:val="32"/>
              </w:rPr>
              <w:t>联系方式</w:t>
            </w:r>
          </w:p>
        </w:tc>
        <w:tc>
          <w:tcPr>
            <w:tcW w:w="4376" w:type="dxa"/>
            <w:vAlign w:val="center"/>
          </w:tcPr>
          <w:p>
            <w:pPr>
              <w:widowControl/>
              <w:jc w:val="left"/>
              <w:rPr>
                <w:rFonts w:ascii="华文仿宋" w:hAnsi="华文仿宋" w:eastAsia="华文仿宋" w:cs="Arial"/>
                <w:color w:val="191919"/>
                <w:sz w:val="32"/>
                <w:szCs w:val="32"/>
              </w:rPr>
            </w:pPr>
          </w:p>
          <w:p>
            <w:pPr>
              <w:widowControl/>
              <w:jc w:val="left"/>
              <w:rPr>
                <w:rFonts w:ascii="华文仿宋" w:hAnsi="华文仿宋" w:eastAsia="华文仿宋" w:cs="Arial"/>
                <w:color w:val="191919"/>
                <w:sz w:val="32"/>
                <w:szCs w:val="32"/>
              </w:rPr>
            </w:pPr>
          </w:p>
        </w:tc>
        <w:tc>
          <w:tcPr>
            <w:tcW w:w="1224" w:type="dxa"/>
            <w:vAlign w:val="center"/>
          </w:tcPr>
          <w:p>
            <w:pPr>
              <w:widowControl/>
              <w:jc w:val="center"/>
              <w:rPr>
                <w:rFonts w:ascii="华文仿宋" w:hAnsi="华文仿宋" w:eastAsia="华文仿宋" w:cs="Arial"/>
                <w:color w:val="191919"/>
                <w:sz w:val="32"/>
                <w:szCs w:val="32"/>
              </w:rPr>
            </w:pPr>
          </w:p>
        </w:tc>
      </w:tr>
    </w:tbl>
    <w:p>
      <w:pPr>
        <w:pStyle w:val="5"/>
        <w:shd w:val="clear" w:color="auto" w:fill="FFFFFF"/>
        <w:spacing w:before="0" w:beforeAutospacing="0" w:after="0" w:afterAutospacing="0"/>
        <w:rPr>
          <w:rFonts w:ascii="华文仿宋" w:hAnsi="华文仿宋" w:eastAsia="华文仿宋" w:cs="Arial"/>
          <w:color w:val="191919"/>
          <w:kern w:val="2"/>
          <w:sz w:val="32"/>
          <w:szCs w:val="32"/>
        </w:rPr>
      </w:pPr>
    </w:p>
    <w:p>
      <w:pPr>
        <w:pStyle w:val="5"/>
        <w:shd w:val="clear" w:color="auto" w:fill="FFFFFF"/>
        <w:spacing w:before="0" w:beforeAutospacing="0" w:after="0" w:afterAutospacing="0"/>
        <w:rPr>
          <w:rFonts w:ascii="华文仿宋" w:hAnsi="华文仿宋" w:eastAsia="华文仿宋" w:cs="Arial"/>
          <w:color w:val="191919"/>
          <w:kern w:val="2"/>
          <w:sz w:val="32"/>
          <w:szCs w:val="32"/>
        </w:rPr>
      </w:pPr>
    </w:p>
    <w:p>
      <w:pPr>
        <w:pStyle w:val="5"/>
        <w:shd w:val="clear" w:color="auto" w:fill="FFFFFF"/>
        <w:spacing w:before="0" w:beforeAutospacing="0" w:after="0" w:afterAutospacing="0"/>
        <w:rPr>
          <w:rFonts w:ascii="华文仿宋" w:hAnsi="华文仿宋" w:eastAsia="华文仿宋" w:cs="Arial"/>
          <w:color w:val="191919"/>
          <w:kern w:val="2"/>
          <w:sz w:val="32"/>
          <w:szCs w:val="32"/>
        </w:rPr>
      </w:pPr>
    </w:p>
    <w:sectPr>
      <w:pgSz w:w="11906" w:h="16838"/>
      <w:pgMar w:top="1701" w:right="1474" w:bottom="1135"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35F"/>
    <w:rsid w:val="00027F6B"/>
    <w:rsid w:val="00040B90"/>
    <w:rsid w:val="000C0025"/>
    <w:rsid w:val="000D5E62"/>
    <w:rsid w:val="000D7D89"/>
    <w:rsid w:val="000E0A5B"/>
    <w:rsid w:val="000E1555"/>
    <w:rsid w:val="000F5673"/>
    <w:rsid w:val="0015785A"/>
    <w:rsid w:val="00174CB7"/>
    <w:rsid w:val="0018761E"/>
    <w:rsid w:val="001E653A"/>
    <w:rsid w:val="00217302"/>
    <w:rsid w:val="00233B09"/>
    <w:rsid w:val="00267437"/>
    <w:rsid w:val="00296140"/>
    <w:rsid w:val="002D472B"/>
    <w:rsid w:val="0031112A"/>
    <w:rsid w:val="00324D9A"/>
    <w:rsid w:val="00374A6D"/>
    <w:rsid w:val="00390A7F"/>
    <w:rsid w:val="00396046"/>
    <w:rsid w:val="003A3197"/>
    <w:rsid w:val="003C1126"/>
    <w:rsid w:val="003D1652"/>
    <w:rsid w:val="003E0F63"/>
    <w:rsid w:val="003F1B5D"/>
    <w:rsid w:val="004005B1"/>
    <w:rsid w:val="00441265"/>
    <w:rsid w:val="00442F28"/>
    <w:rsid w:val="0044706D"/>
    <w:rsid w:val="004642B9"/>
    <w:rsid w:val="0048465D"/>
    <w:rsid w:val="00490D84"/>
    <w:rsid w:val="004C16A3"/>
    <w:rsid w:val="004E6BB1"/>
    <w:rsid w:val="00513CAA"/>
    <w:rsid w:val="00561385"/>
    <w:rsid w:val="005710F9"/>
    <w:rsid w:val="005A68AD"/>
    <w:rsid w:val="005C6D31"/>
    <w:rsid w:val="00603BBE"/>
    <w:rsid w:val="00616E38"/>
    <w:rsid w:val="0066057C"/>
    <w:rsid w:val="00681A7E"/>
    <w:rsid w:val="006839C6"/>
    <w:rsid w:val="006A7960"/>
    <w:rsid w:val="006D267D"/>
    <w:rsid w:val="006D5324"/>
    <w:rsid w:val="00703778"/>
    <w:rsid w:val="00710F55"/>
    <w:rsid w:val="0076684A"/>
    <w:rsid w:val="007835A1"/>
    <w:rsid w:val="007836F2"/>
    <w:rsid w:val="007C1A99"/>
    <w:rsid w:val="007D4B08"/>
    <w:rsid w:val="007F74C9"/>
    <w:rsid w:val="00813D4F"/>
    <w:rsid w:val="0084735F"/>
    <w:rsid w:val="00871D1F"/>
    <w:rsid w:val="008B4364"/>
    <w:rsid w:val="008C5B81"/>
    <w:rsid w:val="008E5420"/>
    <w:rsid w:val="008F2B4B"/>
    <w:rsid w:val="00905F0D"/>
    <w:rsid w:val="009242CB"/>
    <w:rsid w:val="00937877"/>
    <w:rsid w:val="0096739B"/>
    <w:rsid w:val="009B3E59"/>
    <w:rsid w:val="009B3EDD"/>
    <w:rsid w:val="009C0FE8"/>
    <w:rsid w:val="009C6269"/>
    <w:rsid w:val="00A06811"/>
    <w:rsid w:val="00A64E62"/>
    <w:rsid w:val="00A67C06"/>
    <w:rsid w:val="00A93D5B"/>
    <w:rsid w:val="00AA141D"/>
    <w:rsid w:val="00AF6BF6"/>
    <w:rsid w:val="00B159FD"/>
    <w:rsid w:val="00B20FA4"/>
    <w:rsid w:val="00B9177C"/>
    <w:rsid w:val="00BA2EFC"/>
    <w:rsid w:val="00BB0FCB"/>
    <w:rsid w:val="00BB77FE"/>
    <w:rsid w:val="00BD7DFE"/>
    <w:rsid w:val="00BE43D5"/>
    <w:rsid w:val="00BE5533"/>
    <w:rsid w:val="00BF0FC5"/>
    <w:rsid w:val="00C13581"/>
    <w:rsid w:val="00C1775E"/>
    <w:rsid w:val="00C323B6"/>
    <w:rsid w:val="00C46309"/>
    <w:rsid w:val="00C53BBD"/>
    <w:rsid w:val="00CB3B69"/>
    <w:rsid w:val="00D06D4F"/>
    <w:rsid w:val="00DA6245"/>
    <w:rsid w:val="00DC2A7B"/>
    <w:rsid w:val="00DC5263"/>
    <w:rsid w:val="00DC5CC6"/>
    <w:rsid w:val="00DC7A47"/>
    <w:rsid w:val="00E06589"/>
    <w:rsid w:val="00E40304"/>
    <w:rsid w:val="00E61807"/>
    <w:rsid w:val="00E92030"/>
    <w:rsid w:val="00EB2286"/>
    <w:rsid w:val="00EC1BB6"/>
    <w:rsid w:val="00ED7C95"/>
    <w:rsid w:val="00F04F9E"/>
    <w:rsid w:val="00F124F2"/>
    <w:rsid w:val="00F26DFB"/>
    <w:rsid w:val="00F531A8"/>
    <w:rsid w:val="00F94435"/>
    <w:rsid w:val="00F95996"/>
    <w:rsid w:val="00F95CA3"/>
    <w:rsid w:val="00FB33D6"/>
    <w:rsid w:val="00FE0F79"/>
    <w:rsid w:val="1618153B"/>
    <w:rsid w:val="42362475"/>
    <w:rsid w:val="435E1F95"/>
    <w:rsid w:val="467B257C"/>
    <w:rsid w:val="5D2C2B65"/>
    <w:rsid w:val="604B1C81"/>
    <w:rsid w:val="68627DF4"/>
    <w:rsid w:val="68F658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9">
    <w:name w:val="页眉 Char"/>
    <w:basedOn w:val="8"/>
    <w:link w:val="4"/>
    <w:qFormat/>
    <w:uiPriority w:val="99"/>
    <w:rPr>
      <w:sz w:val="18"/>
      <w:szCs w:val="18"/>
    </w:rPr>
  </w:style>
  <w:style w:type="character" w:customStyle="1" w:styleId="10">
    <w:name w:val="页脚 Char"/>
    <w:basedOn w:val="8"/>
    <w:link w:val="3"/>
    <w:qFormat/>
    <w:uiPriority w:val="99"/>
    <w:rPr>
      <w:sz w:val="18"/>
      <w:szCs w:val="18"/>
    </w:rPr>
  </w:style>
  <w:style w:type="paragraph" w:styleId="11">
    <w:name w:val="List Paragraph"/>
    <w:basedOn w:val="1"/>
    <w:qFormat/>
    <w:uiPriority w:val="34"/>
    <w:pPr>
      <w:ind w:firstLine="420" w:firstLineChars="200"/>
    </w:pPr>
  </w:style>
  <w:style w:type="character" w:customStyle="1" w:styleId="12">
    <w:name w:val="批注框文本 Char"/>
    <w:basedOn w:val="8"/>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Win7w.Com</Company>
  <Pages>7</Pages>
  <Words>331</Words>
  <Characters>1888</Characters>
  <Lines>15</Lines>
  <Paragraphs>4</Paragraphs>
  <TotalTime>107</TotalTime>
  <ScaleCrop>false</ScaleCrop>
  <LinksUpToDate>false</LinksUpToDate>
  <CharactersWithSpaces>2215</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2020-11-05T02:22:00Z</dcterms:created>
  <dc:creator>dell</dc:creator>
  <cp:lastModifiedBy>比鱼小</cp:lastModifiedBy>
  <cp:lastPrinted>2020-11-02T02:29:00Z</cp:lastPrinted>
  <dcterms:modified xsi:type="dcterms:W3CDTF">2020-12-06T12:50:50Z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