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hint="eastAsia" w:ascii="黑体" w:hAnsi="黑体" w:eastAsia="黑体"/>
          <w:sz w:val="32"/>
          <w:szCs w:val="32"/>
        </w:rPr>
        <w:t>关于开展2019年防范非法集资宣传教育</w:t>
      </w:r>
    </w:p>
    <w:p>
      <w:pPr>
        <w:jc w:val="center"/>
        <w:rPr>
          <w:rFonts w:ascii="黑体" w:hAnsi="黑体" w:eastAsia="黑体"/>
          <w:sz w:val="32"/>
          <w:szCs w:val="32"/>
        </w:rPr>
      </w:pPr>
      <w:r>
        <w:rPr>
          <w:rFonts w:hint="eastAsia" w:ascii="黑体" w:hAnsi="黑体" w:eastAsia="黑体"/>
          <w:sz w:val="32"/>
          <w:szCs w:val="32"/>
        </w:rPr>
        <w:t>“筑网行动”的通知</w:t>
      </w:r>
    </w:p>
    <w:p/>
    <w:p>
      <w:pPr>
        <w:spacing w:line="520" w:lineRule="exact"/>
        <w:rPr>
          <w:rFonts w:ascii="仿宋_GB2312" w:eastAsia="仿宋_GB2312"/>
          <w:sz w:val="32"/>
          <w:szCs w:val="32"/>
        </w:rPr>
      </w:pPr>
      <w:r>
        <w:rPr>
          <w:rFonts w:hint="eastAsia" w:ascii="仿宋_GB2312" w:eastAsia="仿宋_GB2312"/>
          <w:sz w:val="32"/>
          <w:szCs w:val="32"/>
        </w:rPr>
        <w:t xml:space="preserve">省防范和处置非法集资工作领导小组成员单位，各市防范和处置非法集资工作领导小组办公室: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为深入贯彻落实《山东省人民政府关于贯彻国发(2015)59号文件进一步做好防范和处置非法集资工作的实施意见》(鲁发(2016) 8号)，根据《处置非法集资部际联席会议办公室关于开展2019年防范非法集资宣传月活动的通知》(处非联办发(2019] 1号)要求，进一步强化非法集资源头治理，坚决打好防范化解重大风险攻坚战，定于2019年在全省组织开展防范非法集资宣传教育“筑网行动”，并将5月宣传月主题定为“携手筑网，同防共治”，现就有关事项通知如下:</w:t>
      </w:r>
    </w:p>
    <w:p>
      <w:pPr>
        <w:spacing w:line="520" w:lineRule="exact"/>
        <w:ind w:firstLine="643" w:firstLineChars="200"/>
        <w:rPr>
          <w:rFonts w:ascii="黑体" w:hAnsi="黑体" w:eastAsia="黑体"/>
          <w:b/>
          <w:sz w:val="32"/>
          <w:szCs w:val="32"/>
        </w:rPr>
      </w:pPr>
      <w:r>
        <w:rPr>
          <w:rFonts w:hint="eastAsia" w:ascii="黑体" w:hAnsi="黑体" w:eastAsia="黑体"/>
          <w:b/>
          <w:sz w:val="32"/>
          <w:szCs w:val="32"/>
        </w:rPr>
        <w:t>一、 强化组织领导，实现工作网络同频共振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当前，非法集资案件维持高发态势，新案多发与陈案积压并存，区域及行业风险集中，涉及领域众多，“上网跨域”特点明显，参与人数居高不下，形势不容乐观。党中央、国务院高度重视，有关领导同志专门就加强投资者教育、提高公众金融素养作出指示;省委、省政府全面部署工作，主要领导、分管领导先后多次作出批示，要求“严查严防严控严打”，并加强宣传教育针对性和精准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级各有关部门要充分认识做好防范非法集资宣传教育工作的重要性和必要性，利用好防范非法集资宣传月这一品牌活动，围绕“携手筑网.同防共治”的主题，突出“身边事”教育“身边人”的工作主线，在全省开展防范非法集资宣传教育“筑网行动”，筑牢织密宣传教育网络，形成全域覆盖、重点突出、精准发力网络体系，力争取得线上线下追地开花结果的工作实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级各有关部门要扎实部署“横向到边、纵向到底”的宣传教育工作网络，充分利用基层工作人员、网格员、志愿者、行业宣传员等队伍，将宣传工作触角延伸至街道乡镇、基层网格、机构网点，上下合力、同频共振，迅速掀起密集化、轰炸式宣传浪潮，切实将进机关、进学校、进企业、进社区、进农村、进家庭、进网点的“七进”宣传落实到位，全面营造“非法集资人人远离，防非打非人人有责”的浓厚</w:t>
      </w:r>
      <w:r>
        <w:rPr>
          <w:rFonts w:hint="eastAsia" w:ascii="仿宋_GB2312" w:hAnsi="宋体" w:eastAsia="仿宋_GB2312" w:cs="宋体"/>
          <w:color w:val="000000"/>
          <w:sz w:val="32"/>
          <w:szCs w:val="32"/>
          <w:lang w:val="zh-CN" w:bidi="zh-CN"/>
        </w:rPr>
        <w:t>社会氛围</w:t>
      </w:r>
      <w:r>
        <w:rPr>
          <w:rFonts w:hint="eastAsia" w:ascii="仿宋_GB2312" w:eastAsia="仿宋_GB2312"/>
          <w:color w:val="000000"/>
          <w:sz w:val="32"/>
          <w:szCs w:val="32"/>
          <w:lang w:val="zh-CN" w:bidi="zh-CN"/>
        </w:rPr>
        <w:t>，</w:t>
      </w:r>
      <w:r>
        <w:rPr>
          <w:rFonts w:hint="eastAsia" w:ascii="仿宋_GB2312" w:hAnsi="宋体" w:eastAsia="仿宋_GB2312" w:cs="宋体"/>
          <w:color w:val="000000"/>
          <w:sz w:val="32"/>
          <w:szCs w:val="32"/>
          <w:lang w:val="zh-CN" w:bidi="zh-CN"/>
        </w:rPr>
        <w:t>努为实现让每一个应受到教育的人受到教育</w:t>
      </w:r>
      <w:r>
        <w:rPr>
          <w:rFonts w:hint="eastAsia" w:ascii="仿宋_GB2312" w:eastAsia="仿宋_GB2312"/>
          <w:color w:val="000000"/>
          <w:sz w:val="32"/>
          <w:szCs w:val="32"/>
          <w:lang w:val="zh-CN" w:bidi="zh-CN"/>
        </w:rPr>
        <w:t>，</w:t>
      </w:r>
      <w:r>
        <w:rPr>
          <w:rFonts w:hint="eastAsia" w:ascii="仿宋_GB2312" w:hAnsi="宋体" w:eastAsia="仿宋_GB2312" w:cs="宋体"/>
          <w:color w:val="000000"/>
          <w:sz w:val="32"/>
          <w:szCs w:val="32"/>
          <w:lang w:val="zh-CN" w:bidi="zh-CN"/>
        </w:rPr>
        <w:t>每</w:t>
      </w:r>
      <w:r>
        <w:rPr>
          <w:rFonts w:hint="eastAsia" w:ascii="仿宋_GB2312" w:hAnsi="方正小标宋" w:eastAsia="仿宋_GB2312"/>
          <w:color w:val="000000"/>
          <w:sz w:val="32"/>
          <w:szCs w:val="32"/>
          <w:lang w:val="zh-CN" w:bidi="zh-CN"/>
        </w:rPr>
        <w:t xml:space="preserve"> </w:t>
      </w:r>
      <w:r>
        <w:rPr>
          <w:rFonts w:hint="eastAsia" w:ascii="仿宋_GB2312" w:hAnsi="宋体" w:eastAsia="仿宋_GB2312" w:cs="宋体"/>
          <w:color w:val="000000"/>
          <w:sz w:val="32"/>
          <w:szCs w:val="32"/>
          <w:lang w:val="zh-CN" w:bidi="zh-CN"/>
        </w:rPr>
        <w:t>一个受到教育的人能做到不参与</w:t>
      </w:r>
      <w:r>
        <w:rPr>
          <w:rFonts w:hint="eastAsia" w:ascii="仿宋_GB2312" w:eastAsia="仿宋_GB2312"/>
          <w:color w:val="000000"/>
          <w:sz w:val="32"/>
          <w:szCs w:val="32"/>
          <w:lang w:val="zh-CN" w:bidi="zh-CN"/>
        </w:rPr>
        <w:t>、</w:t>
      </w:r>
      <w:r>
        <w:rPr>
          <w:rFonts w:hint="eastAsia" w:ascii="仿宋_GB2312" w:hAnsi="宋体" w:eastAsia="仿宋_GB2312" w:cs="宋体"/>
          <w:color w:val="000000"/>
          <w:sz w:val="32"/>
          <w:szCs w:val="32"/>
          <w:lang w:val="zh-CN" w:bidi="zh-CN"/>
        </w:rPr>
        <w:t>能识别</w:t>
      </w:r>
      <w:r>
        <w:rPr>
          <w:rFonts w:hint="eastAsia" w:ascii="仿宋_GB2312" w:eastAsia="仿宋_GB2312"/>
          <w:color w:val="000000"/>
          <w:sz w:val="32"/>
          <w:szCs w:val="32"/>
          <w:lang w:val="zh-CN" w:bidi="zh-CN"/>
        </w:rPr>
        <w:t>、</w:t>
      </w:r>
      <w:r>
        <w:rPr>
          <w:rFonts w:hint="eastAsia" w:ascii="仿宋_GB2312" w:hAnsi="宋体" w:eastAsia="仿宋_GB2312" w:cs="宋体"/>
          <w:color w:val="000000"/>
          <w:sz w:val="32"/>
          <w:szCs w:val="32"/>
          <w:lang w:val="zh-CN" w:bidi="zh-CN"/>
        </w:rPr>
        <w:t>敢揭发非法集资</w:t>
      </w:r>
      <w:r>
        <w:rPr>
          <w:rFonts w:hint="eastAsia" w:ascii="仿宋_GB2312" w:hAnsi="方正小标宋" w:eastAsia="仿宋_GB2312"/>
          <w:color w:val="000000"/>
          <w:sz w:val="32"/>
          <w:szCs w:val="32"/>
          <w:lang w:val="zh-CN" w:bidi="zh-CN"/>
        </w:rPr>
        <w:t xml:space="preserve"> </w:t>
      </w:r>
      <w:r>
        <w:rPr>
          <w:rFonts w:hint="eastAsia" w:ascii="仿宋_GB2312" w:hAnsi="宋体" w:eastAsia="仿宋_GB2312" w:cs="宋体"/>
          <w:color w:val="000000"/>
          <w:sz w:val="32"/>
          <w:szCs w:val="32"/>
          <w:lang w:val="zh-CN" w:bidi="zh-CN"/>
        </w:rPr>
        <w:t>的工作目标</w:t>
      </w:r>
      <w:r>
        <w:rPr>
          <w:rFonts w:hint="eastAsia" w:ascii="仿宋_GB2312" w:eastAsia="仿宋_GB2312"/>
          <w:color w:val="000000"/>
          <w:sz w:val="32"/>
          <w:szCs w:val="32"/>
          <w:lang w:val="zh-CN" w:bidi="zh-CN"/>
        </w:rPr>
        <w:t>。</w:t>
      </w:r>
    </w:p>
    <w:p>
      <w:pPr>
        <w:pStyle w:val="8"/>
        <w:shd w:val="clear" w:color="auto" w:fill="auto"/>
        <w:spacing w:line="520" w:lineRule="exact"/>
        <w:ind w:firstLine="643" w:firstLineChars="200"/>
        <w:rPr>
          <w:rFonts w:ascii="黑体" w:hAnsi="黑体" w:eastAsia="黑体"/>
          <w:b/>
          <w:sz w:val="32"/>
          <w:szCs w:val="32"/>
        </w:rPr>
      </w:pPr>
      <w:r>
        <w:rPr>
          <w:rFonts w:hint="eastAsia" w:ascii="黑体" w:hAnsi="黑体" w:eastAsia="黑体" w:cs="宋体"/>
          <w:b/>
          <w:sz w:val="32"/>
          <w:szCs w:val="32"/>
        </w:rPr>
        <w:t>二</w:t>
      </w:r>
      <w:r>
        <w:rPr>
          <w:rFonts w:hint="eastAsia" w:ascii="黑体" w:hAnsi="黑体" w:eastAsia="黑体"/>
          <w:b/>
          <w:sz w:val="32"/>
          <w:szCs w:val="32"/>
        </w:rPr>
        <w:t>、</w:t>
      </w:r>
      <w:r>
        <w:rPr>
          <w:rFonts w:hint="eastAsia" w:ascii="黑体" w:hAnsi="黑体" w:eastAsia="黑体" w:cs="宋体"/>
          <w:b/>
          <w:sz w:val="32"/>
          <w:szCs w:val="32"/>
        </w:rPr>
        <w:t>实施精准宣传</w:t>
      </w:r>
      <w:r>
        <w:rPr>
          <w:rFonts w:hint="eastAsia" w:ascii="黑体" w:hAnsi="黑体" w:eastAsia="黑体"/>
          <w:b/>
          <w:sz w:val="32"/>
          <w:szCs w:val="32"/>
        </w:rPr>
        <w:t>，</w:t>
      </w:r>
      <w:r>
        <w:rPr>
          <w:rFonts w:hint="eastAsia" w:ascii="黑体" w:hAnsi="黑体" w:eastAsia="黑体" w:cs="宋体"/>
          <w:b/>
          <w:sz w:val="32"/>
          <w:szCs w:val="32"/>
        </w:rPr>
        <w:t>用</w:t>
      </w:r>
      <w:r>
        <w:rPr>
          <w:rFonts w:hint="eastAsia" w:ascii="黑体" w:hAnsi="黑体" w:eastAsia="黑体"/>
          <w:b/>
          <w:sz w:val="32"/>
          <w:szCs w:val="32"/>
        </w:rPr>
        <w:t>“</w:t>
      </w:r>
      <w:r>
        <w:rPr>
          <w:rFonts w:hint="eastAsia" w:ascii="黑体" w:hAnsi="黑体" w:eastAsia="黑体" w:cs="宋体"/>
          <w:b/>
          <w:sz w:val="32"/>
          <w:szCs w:val="32"/>
        </w:rPr>
        <w:t>身边事</w:t>
      </w:r>
      <w:r>
        <w:rPr>
          <w:rFonts w:hint="eastAsia" w:ascii="黑体" w:hAnsi="黑体" w:eastAsia="黑体"/>
          <w:b/>
          <w:sz w:val="32"/>
          <w:szCs w:val="32"/>
        </w:rPr>
        <w:t>”</w:t>
      </w:r>
      <w:r>
        <w:rPr>
          <w:rFonts w:hint="eastAsia" w:ascii="黑体" w:hAnsi="黑体" w:eastAsia="黑体" w:cs="宋体"/>
          <w:b/>
          <w:sz w:val="32"/>
          <w:szCs w:val="32"/>
        </w:rPr>
        <w:t>教育</w:t>
      </w:r>
      <w:r>
        <w:rPr>
          <w:rFonts w:hint="eastAsia" w:ascii="黑体" w:hAnsi="黑体" w:eastAsia="黑体"/>
          <w:b/>
          <w:sz w:val="32"/>
          <w:szCs w:val="32"/>
        </w:rPr>
        <w:t>“</w:t>
      </w:r>
      <w:r>
        <w:rPr>
          <w:rFonts w:hint="eastAsia" w:ascii="黑体" w:hAnsi="黑体" w:eastAsia="黑体" w:cs="宋体"/>
          <w:b/>
          <w:sz w:val="32"/>
          <w:szCs w:val="32"/>
        </w:rPr>
        <w:t>身边人</w:t>
      </w:r>
      <w:r>
        <w:rPr>
          <w:rFonts w:hint="eastAsia" w:ascii="黑体" w:hAnsi="黑体" w:eastAsia="黑体"/>
          <w:b/>
          <w:sz w:val="32"/>
          <w:szCs w:val="32"/>
        </w:rPr>
        <w:t>”</w:t>
      </w:r>
    </w:p>
    <w:p>
      <w:pPr>
        <w:pStyle w:val="6"/>
        <w:shd w:val="clear" w:color="auto" w:fill="auto"/>
        <w:spacing w:line="520" w:lineRule="exact"/>
        <w:ind w:firstLine="640" w:firstLineChars="200"/>
        <w:jc w:val="both"/>
        <w:rPr>
          <w:rFonts w:ascii="仿宋_GB2312" w:hAnsi="方正小标宋" w:eastAsia="仿宋_GB2312"/>
          <w:sz w:val="32"/>
          <w:szCs w:val="32"/>
        </w:rPr>
      </w:pPr>
      <w:r>
        <w:rPr>
          <w:rFonts w:hint="eastAsia" w:ascii="宋体" w:hAnsi="宋体" w:eastAsia="宋体" w:cs="宋体"/>
          <w:sz w:val="32"/>
          <w:szCs w:val="32"/>
        </w:rPr>
        <w:t>一要注重开展典型案例警示性教育</w:t>
      </w:r>
      <w:r>
        <w:rPr>
          <w:rFonts w:hint="eastAsia" w:ascii="仿宋_GB2312" w:eastAsia="仿宋_GB2312"/>
          <w:sz w:val="32"/>
          <w:szCs w:val="32"/>
        </w:rPr>
        <w:t>。</w:t>
      </w:r>
      <w:r>
        <w:rPr>
          <w:rFonts w:hint="eastAsia" w:ascii="仿宋_GB2312" w:hAnsi="宋体" w:eastAsia="仿宋_GB2312" w:cs="宋体"/>
          <w:sz w:val="32"/>
          <w:szCs w:val="32"/>
        </w:rPr>
        <w:t>研究总结当前非法</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集资新特征</w:t>
      </w:r>
      <w:r>
        <w:rPr>
          <w:rFonts w:hint="eastAsia" w:ascii="仿宋_GB2312" w:eastAsia="仿宋_GB2312"/>
          <w:sz w:val="32"/>
          <w:szCs w:val="32"/>
        </w:rPr>
        <w:t>、</w:t>
      </w:r>
      <w:r>
        <w:rPr>
          <w:rFonts w:hint="eastAsia" w:ascii="仿宋_GB2312" w:hAnsi="宋体" w:eastAsia="仿宋_GB2312" w:cs="宋体"/>
          <w:sz w:val="32"/>
          <w:szCs w:val="32"/>
        </w:rPr>
        <w:t>新手法</w:t>
      </w:r>
      <w:r>
        <w:rPr>
          <w:rFonts w:hint="eastAsia" w:ascii="仿宋_GB2312" w:eastAsia="仿宋_GB2312"/>
          <w:sz w:val="32"/>
          <w:szCs w:val="32"/>
        </w:rPr>
        <w:t>、</w:t>
      </w:r>
      <w:r>
        <w:rPr>
          <w:rFonts w:hint="eastAsia" w:ascii="仿宋_GB2312" w:hAnsi="宋体" w:eastAsia="仿宋_GB2312" w:cs="宋体"/>
          <w:sz w:val="32"/>
          <w:szCs w:val="32"/>
        </w:rPr>
        <w:t>新</w:t>
      </w:r>
      <w:r>
        <w:rPr>
          <w:rFonts w:hint="eastAsia" w:ascii="仿宋_GB2312" w:eastAsia="仿宋_GB2312"/>
          <w:sz w:val="32"/>
          <w:szCs w:val="32"/>
        </w:rPr>
        <w:t>“</w:t>
      </w:r>
      <w:r>
        <w:rPr>
          <w:rFonts w:hint="eastAsia" w:ascii="仿宋_GB2312" w:hAnsi="宋体" w:eastAsia="仿宋_GB2312" w:cs="宋体"/>
          <w:sz w:val="32"/>
          <w:szCs w:val="32"/>
        </w:rPr>
        <w:t>套路</w:t>
      </w:r>
      <w:r>
        <w:rPr>
          <w:rFonts w:hint="eastAsia" w:ascii="仿宋_GB2312" w:eastAsia="仿宋_GB2312"/>
          <w:sz w:val="32"/>
          <w:szCs w:val="32"/>
        </w:rPr>
        <w:t>”，</w:t>
      </w:r>
      <w:r>
        <w:rPr>
          <w:rFonts w:hint="eastAsia" w:ascii="仿宋_GB2312" w:hAnsi="宋体" w:eastAsia="仿宋_GB2312" w:cs="宋体"/>
          <w:sz w:val="32"/>
          <w:szCs w:val="32"/>
        </w:rPr>
        <w:t>搜集整理典型案例</w:t>
      </w:r>
      <w:r>
        <w:rPr>
          <w:rFonts w:hint="eastAsia" w:ascii="仿宋_GB2312" w:eastAsia="仿宋_GB2312"/>
          <w:sz w:val="32"/>
          <w:szCs w:val="32"/>
        </w:rPr>
        <w:t>，</w:t>
      </w:r>
      <w:r>
        <w:rPr>
          <w:rFonts w:hint="eastAsia" w:ascii="仿宋_GB2312" w:hAnsi="宋体" w:eastAsia="仿宋_GB2312" w:cs="宋体"/>
          <w:sz w:val="32"/>
          <w:szCs w:val="32"/>
        </w:rPr>
        <w:t>发</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动非法集资参与人</w:t>
      </w:r>
      <w:r>
        <w:rPr>
          <w:rFonts w:hint="eastAsia" w:ascii="仿宋_GB2312" w:eastAsia="仿宋_GB2312"/>
          <w:sz w:val="32"/>
          <w:szCs w:val="32"/>
        </w:rPr>
        <w:t>“</w:t>
      </w:r>
      <w:r>
        <w:rPr>
          <w:rFonts w:hint="eastAsia" w:ascii="仿宋_GB2312" w:hAnsi="宋体" w:eastAsia="仿宋_GB2312" w:cs="宋体"/>
          <w:sz w:val="32"/>
          <w:szCs w:val="32"/>
        </w:rPr>
        <w:t>现身说法</w:t>
      </w:r>
      <w:r>
        <w:rPr>
          <w:rFonts w:hint="eastAsia" w:ascii="仿宋_GB2312" w:eastAsia="仿宋_GB2312"/>
          <w:sz w:val="32"/>
          <w:szCs w:val="32"/>
        </w:rPr>
        <w:t>”、</w:t>
      </w:r>
      <w:r>
        <w:rPr>
          <w:rFonts w:hint="eastAsia" w:ascii="仿宋_GB2312" w:hAnsi="宋体" w:eastAsia="仿宋_GB2312" w:cs="宋体"/>
          <w:sz w:val="32"/>
          <w:szCs w:val="32"/>
        </w:rPr>
        <w:t>拍摄警示教育片</w:t>
      </w:r>
      <w:r>
        <w:rPr>
          <w:rFonts w:hint="eastAsia" w:ascii="仿宋_GB2312" w:eastAsia="仿宋_GB2312"/>
          <w:sz w:val="32"/>
          <w:szCs w:val="32"/>
        </w:rPr>
        <w:t>，</w:t>
      </w:r>
      <w:r>
        <w:rPr>
          <w:rFonts w:hint="eastAsia" w:ascii="仿宋_GB2312" w:hAnsi="宋体" w:eastAsia="仿宋_GB2312" w:cs="宋体"/>
          <w:sz w:val="32"/>
          <w:szCs w:val="32"/>
        </w:rPr>
        <w:t>利用志</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愿者</w:t>
      </w:r>
      <w:r>
        <w:rPr>
          <w:rFonts w:hint="eastAsia" w:ascii="仿宋_GB2312" w:eastAsia="仿宋_GB2312"/>
          <w:sz w:val="32"/>
          <w:szCs w:val="32"/>
        </w:rPr>
        <w:t>、</w:t>
      </w:r>
      <w:r>
        <w:rPr>
          <w:rFonts w:hint="eastAsia" w:ascii="仿宋_GB2312" w:hAnsi="宋体" w:eastAsia="仿宋_GB2312" w:cs="宋体"/>
          <w:sz w:val="32"/>
          <w:szCs w:val="32"/>
        </w:rPr>
        <w:t>网格员</w:t>
      </w:r>
      <w:r>
        <w:rPr>
          <w:rFonts w:hint="eastAsia" w:ascii="仿宋_GB2312" w:eastAsia="仿宋_GB2312"/>
          <w:sz w:val="32"/>
          <w:szCs w:val="32"/>
        </w:rPr>
        <w:t>、</w:t>
      </w:r>
      <w:r>
        <w:rPr>
          <w:rFonts w:hint="eastAsia" w:ascii="仿宋_GB2312" w:hAnsi="宋体" w:eastAsia="仿宋_GB2312" w:cs="宋体"/>
          <w:sz w:val="32"/>
          <w:szCs w:val="32"/>
        </w:rPr>
        <w:t>金融机构员工</w:t>
      </w:r>
      <w:r>
        <w:rPr>
          <w:rFonts w:hint="eastAsia" w:ascii="仿宋_GB2312" w:eastAsia="仿宋_GB2312"/>
          <w:sz w:val="32"/>
          <w:szCs w:val="32"/>
        </w:rPr>
        <w:t>、</w:t>
      </w:r>
      <w:r>
        <w:rPr>
          <w:rFonts w:hint="eastAsia" w:ascii="仿宋_GB2312" w:hAnsi="宋体" w:eastAsia="仿宋_GB2312" w:cs="宋体"/>
          <w:sz w:val="32"/>
          <w:szCs w:val="32"/>
        </w:rPr>
        <w:t>基层工作人员等群体进行面</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对面案例宣讲</w:t>
      </w:r>
      <w:r>
        <w:rPr>
          <w:rFonts w:hint="eastAsia" w:ascii="仿宋_GB2312" w:eastAsia="仿宋_GB2312"/>
          <w:sz w:val="32"/>
          <w:szCs w:val="32"/>
        </w:rPr>
        <w:t>，</w:t>
      </w:r>
      <w:r>
        <w:rPr>
          <w:rFonts w:hint="eastAsia" w:ascii="仿宋_GB2312" w:hAnsi="宋体" w:eastAsia="仿宋_GB2312" w:cs="宋体"/>
          <w:sz w:val="32"/>
          <w:szCs w:val="32"/>
        </w:rPr>
        <w:t>用鲜活的</w:t>
      </w:r>
      <w:r>
        <w:rPr>
          <w:rFonts w:hint="eastAsia" w:ascii="仿宋_GB2312" w:eastAsia="仿宋_GB2312"/>
          <w:sz w:val="32"/>
          <w:szCs w:val="32"/>
        </w:rPr>
        <w:t>“</w:t>
      </w:r>
      <w:r>
        <w:rPr>
          <w:rFonts w:hint="eastAsia" w:ascii="仿宋_GB2312" w:hAnsi="宋体" w:eastAsia="仿宋_GB2312" w:cs="宋体"/>
          <w:sz w:val="32"/>
          <w:szCs w:val="32"/>
        </w:rPr>
        <w:t>身边事</w:t>
      </w:r>
      <w:r>
        <w:rPr>
          <w:rFonts w:hint="eastAsia" w:ascii="仿宋_GB2312" w:eastAsia="仿宋_GB2312"/>
          <w:sz w:val="32"/>
          <w:szCs w:val="32"/>
        </w:rPr>
        <w:t>”</w:t>
      </w:r>
      <w:r>
        <w:rPr>
          <w:rFonts w:hint="eastAsia" w:ascii="仿宋_GB2312" w:hAnsi="宋体" w:eastAsia="仿宋_GB2312" w:cs="宋体"/>
          <w:sz w:val="32"/>
          <w:szCs w:val="32"/>
        </w:rPr>
        <w:t>教育</w:t>
      </w:r>
      <w:r>
        <w:rPr>
          <w:rFonts w:hint="eastAsia" w:ascii="仿宋_GB2312" w:eastAsia="仿宋_GB2312"/>
          <w:sz w:val="32"/>
          <w:szCs w:val="32"/>
        </w:rPr>
        <w:t>“</w:t>
      </w:r>
      <w:r>
        <w:rPr>
          <w:rFonts w:hint="eastAsia" w:ascii="仿宋_GB2312" w:hAnsi="宋体" w:eastAsia="仿宋_GB2312" w:cs="宋体"/>
          <w:sz w:val="32"/>
          <w:szCs w:val="32"/>
        </w:rPr>
        <w:t>身边人</w:t>
      </w:r>
      <w:r>
        <w:rPr>
          <w:rFonts w:hint="eastAsia" w:ascii="仿宋_GB2312" w:eastAsia="仿宋_GB2312"/>
          <w:sz w:val="32"/>
          <w:szCs w:val="32"/>
        </w:rPr>
        <w:t>”，</w:t>
      </w:r>
      <w:r>
        <w:rPr>
          <w:rFonts w:hint="eastAsia" w:ascii="仿宋_GB2312" w:hAnsi="宋体" w:eastAsia="仿宋_GB2312" w:cs="宋体"/>
          <w:sz w:val="32"/>
          <w:szCs w:val="32"/>
        </w:rPr>
        <w:t>使</w:t>
      </w:r>
      <w:r>
        <w:rPr>
          <w:rFonts w:hint="eastAsia" w:ascii="仿宋_GB2312" w:eastAsia="仿宋_GB2312"/>
          <w:sz w:val="32"/>
          <w:szCs w:val="32"/>
        </w:rPr>
        <w:t>“</w:t>
      </w:r>
      <w:r>
        <w:rPr>
          <w:rFonts w:hint="eastAsia" w:ascii="仿宋_GB2312" w:hAnsi="宋体" w:eastAsia="仿宋_GB2312" w:cs="宋体"/>
          <w:sz w:val="32"/>
          <w:szCs w:val="32"/>
        </w:rPr>
        <w:t>高</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收益必然伴随高风险</w:t>
      </w:r>
      <w:r>
        <w:rPr>
          <w:rFonts w:hint="eastAsia" w:ascii="仿宋_GB2312" w:eastAsia="仿宋_GB2312"/>
          <w:sz w:val="32"/>
          <w:szCs w:val="32"/>
        </w:rPr>
        <w:t>”</w:t>
      </w:r>
      <w:r>
        <w:rPr>
          <w:rFonts w:hint="eastAsia" w:ascii="仿宋_GB2312" w:hAnsi="方正小标宋" w:eastAsia="仿宋_GB2312"/>
          <w:sz w:val="32"/>
          <w:szCs w:val="32"/>
        </w:rPr>
        <w:t xml:space="preserve"> </w:t>
      </w:r>
      <w:r>
        <w:rPr>
          <w:rFonts w:hint="eastAsia" w:ascii="仿宋_GB2312" w:eastAsia="仿宋_GB2312"/>
          <w:sz w:val="32"/>
          <w:szCs w:val="32"/>
        </w:rPr>
        <w:t>“</w:t>
      </w:r>
      <w:r>
        <w:rPr>
          <w:rFonts w:hint="eastAsia" w:ascii="仿宋_GB2312" w:hAnsi="宋体" w:eastAsia="仿宋_GB2312" w:cs="宋体"/>
          <w:sz w:val="32"/>
          <w:szCs w:val="32"/>
        </w:rPr>
        <w:t>参与非法集资风险自担</w:t>
      </w:r>
      <w:r>
        <w:rPr>
          <w:rFonts w:hint="eastAsia" w:ascii="仿宋_GB2312" w:eastAsia="仿宋_GB2312"/>
          <w:sz w:val="32"/>
          <w:szCs w:val="32"/>
        </w:rPr>
        <w:t>、</w:t>
      </w:r>
      <w:r>
        <w:rPr>
          <w:rFonts w:hint="eastAsia" w:ascii="仿宋_GB2312" w:hAnsi="宋体" w:eastAsia="仿宋_GB2312" w:cs="宋体"/>
          <w:sz w:val="32"/>
          <w:szCs w:val="32"/>
        </w:rPr>
        <w:t>责任自负</w:t>
      </w:r>
      <w:r>
        <w:rPr>
          <w:rFonts w:hint="eastAsia" w:ascii="仿宋_GB2312" w:eastAsia="仿宋_GB2312"/>
          <w:sz w:val="32"/>
          <w:szCs w:val="32"/>
        </w:rPr>
        <w:t>，</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政府不买单</w:t>
      </w:r>
      <w:r>
        <w:rPr>
          <w:rFonts w:hint="eastAsia" w:ascii="仿宋_GB2312" w:eastAsia="仿宋_GB2312"/>
          <w:sz w:val="32"/>
          <w:szCs w:val="32"/>
        </w:rPr>
        <w:t>”</w:t>
      </w:r>
      <w:r>
        <w:rPr>
          <w:rFonts w:hint="eastAsia" w:ascii="仿宋_GB2312" w:hAnsi="宋体" w:eastAsia="仿宋_GB2312" w:cs="宋体"/>
          <w:sz w:val="32"/>
          <w:szCs w:val="32"/>
        </w:rPr>
        <w:t>等理念真正入耳</w:t>
      </w:r>
      <w:r>
        <w:rPr>
          <w:rFonts w:hint="eastAsia" w:ascii="仿宋_GB2312" w:eastAsia="仿宋_GB2312"/>
          <w:sz w:val="32"/>
          <w:szCs w:val="32"/>
        </w:rPr>
        <w:t>、</w:t>
      </w:r>
      <w:r>
        <w:rPr>
          <w:rFonts w:hint="eastAsia" w:ascii="仿宋_GB2312" w:hAnsi="宋体" w:eastAsia="仿宋_GB2312" w:cs="宋体"/>
          <w:sz w:val="32"/>
          <w:szCs w:val="32"/>
        </w:rPr>
        <w:t>入脑</w:t>
      </w:r>
      <w:r>
        <w:rPr>
          <w:rFonts w:hint="eastAsia" w:ascii="仿宋_GB2312" w:eastAsia="仿宋_GB2312"/>
          <w:sz w:val="32"/>
          <w:szCs w:val="32"/>
        </w:rPr>
        <w:t>、</w:t>
      </w:r>
      <w:r>
        <w:rPr>
          <w:rFonts w:hint="eastAsia" w:ascii="仿宋_GB2312" w:hAnsi="宋体" w:eastAsia="仿宋_GB2312" w:cs="宋体"/>
          <w:sz w:val="32"/>
          <w:szCs w:val="32"/>
        </w:rPr>
        <w:t>入心</w:t>
      </w:r>
      <w:r>
        <w:rPr>
          <w:rFonts w:hint="eastAsia" w:ascii="仿宋_GB2312" w:eastAsia="仿宋_GB2312"/>
          <w:sz w:val="32"/>
          <w:szCs w:val="32"/>
        </w:rPr>
        <w:t>，</w:t>
      </w:r>
    </w:p>
    <w:p>
      <w:pPr>
        <w:pStyle w:val="6"/>
        <w:shd w:val="clear" w:color="auto" w:fill="auto"/>
        <w:spacing w:line="520" w:lineRule="exact"/>
        <w:ind w:firstLine="640" w:firstLineChars="200"/>
        <w:jc w:val="left"/>
        <w:rPr>
          <w:rFonts w:ascii="仿宋_GB2312" w:hAnsi="方正小标宋" w:eastAsia="仿宋_GB2312"/>
          <w:sz w:val="32"/>
          <w:szCs w:val="32"/>
        </w:rPr>
      </w:pPr>
      <w:r>
        <w:rPr>
          <w:rFonts w:hint="eastAsia" w:ascii="宋体" w:hAnsi="宋体" w:eastAsia="宋体" w:cs="宋体"/>
          <w:sz w:val="32"/>
          <w:szCs w:val="32"/>
        </w:rPr>
        <w:t>二要注重对三类人群进行精准性宣传</w:t>
      </w:r>
      <w:r>
        <w:rPr>
          <w:rFonts w:hint="eastAsia" w:ascii="仿宋_GB2312" w:eastAsia="仿宋_GB2312"/>
          <w:sz w:val="32"/>
          <w:szCs w:val="32"/>
        </w:rPr>
        <w:t>。</w:t>
      </w:r>
      <w:r>
        <w:rPr>
          <w:rFonts w:hint="eastAsia" w:ascii="仿宋_GB2312" w:hAnsi="宋体" w:eastAsia="仿宋_GB2312" w:cs="宋体"/>
          <w:sz w:val="32"/>
          <w:szCs w:val="32"/>
        </w:rPr>
        <w:t>针对老年人</w:t>
      </w:r>
      <w:r>
        <w:rPr>
          <w:rFonts w:hint="eastAsia" w:ascii="仿宋_GB2312" w:eastAsia="仿宋_GB2312"/>
          <w:sz w:val="32"/>
          <w:szCs w:val="32"/>
        </w:rPr>
        <w:t>、</w:t>
      </w:r>
      <w:r>
        <w:rPr>
          <w:rFonts w:hint="eastAsia" w:ascii="仿宋_GB2312" w:hAnsi="宋体" w:eastAsia="仿宋_GB2312" w:cs="宋体"/>
          <w:sz w:val="32"/>
          <w:szCs w:val="32"/>
        </w:rPr>
        <w:t>农</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民</w:t>
      </w:r>
      <w:r>
        <w:rPr>
          <w:rFonts w:hint="eastAsia" w:ascii="仿宋_GB2312" w:eastAsia="仿宋_GB2312"/>
          <w:sz w:val="32"/>
          <w:szCs w:val="32"/>
        </w:rPr>
        <w:t>、</w:t>
      </w:r>
      <w:r>
        <w:rPr>
          <w:rFonts w:hint="eastAsia" w:ascii="仿宋_GB2312" w:hAnsi="宋体" w:eastAsia="仿宋_GB2312" w:cs="宋体"/>
          <w:sz w:val="32"/>
          <w:szCs w:val="32"/>
        </w:rPr>
        <w:t>遐休人员等群体贪图小利的心理特征</w:t>
      </w:r>
      <w:r>
        <w:rPr>
          <w:rFonts w:hint="eastAsia" w:ascii="仿宋_GB2312" w:eastAsia="仿宋_GB2312"/>
          <w:sz w:val="32"/>
          <w:szCs w:val="32"/>
        </w:rPr>
        <w:t>，</w:t>
      </w:r>
      <w:r>
        <w:rPr>
          <w:rFonts w:hint="eastAsia" w:ascii="仿宋_GB2312" w:hAnsi="宋体" w:eastAsia="仿宋_GB2312" w:cs="宋体"/>
          <w:sz w:val="32"/>
          <w:szCs w:val="32"/>
        </w:rPr>
        <w:t>采用集资参与人</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现身说法</w:t>
      </w:r>
      <w:r>
        <w:rPr>
          <w:rFonts w:hint="eastAsia" w:ascii="仿宋_GB2312" w:eastAsia="仿宋_GB2312"/>
          <w:sz w:val="32"/>
          <w:szCs w:val="32"/>
        </w:rPr>
        <w:t>、</w:t>
      </w:r>
      <w:r>
        <w:rPr>
          <w:rFonts w:hint="eastAsia" w:ascii="仿宋_GB2312" w:hAnsi="宋体" w:eastAsia="仿宋_GB2312" w:cs="宋体"/>
          <w:sz w:val="32"/>
          <w:szCs w:val="32"/>
        </w:rPr>
        <w:t>以案说法等方式</w:t>
      </w:r>
      <w:r>
        <w:rPr>
          <w:rFonts w:hint="eastAsia" w:ascii="仿宋_GB2312" w:eastAsia="仿宋_GB2312"/>
          <w:sz w:val="32"/>
          <w:szCs w:val="32"/>
        </w:rPr>
        <w:t>，</w:t>
      </w:r>
      <w:r>
        <w:rPr>
          <w:rFonts w:hint="eastAsia" w:ascii="仿宋_GB2312" w:hAnsi="宋体" w:eastAsia="仿宋_GB2312" w:cs="宋体"/>
          <w:sz w:val="32"/>
          <w:szCs w:val="32"/>
        </w:rPr>
        <w:t>进行案例式</w:t>
      </w:r>
      <w:r>
        <w:rPr>
          <w:rFonts w:hint="eastAsia" w:ascii="仿宋_GB2312" w:eastAsia="仿宋_GB2312"/>
          <w:sz w:val="32"/>
          <w:szCs w:val="32"/>
        </w:rPr>
        <w:t>、</w:t>
      </w:r>
      <w:r>
        <w:rPr>
          <w:rFonts w:hint="eastAsia" w:ascii="仿宋_GB2312" w:hAnsi="宋体" w:eastAsia="仿宋_GB2312" w:cs="宋体"/>
          <w:sz w:val="32"/>
          <w:szCs w:val="32"/>
        </w:rPr>
        <w:t>警示性宣传</w:t>
      </w:r>
      <w:r>
        <w:rPr>
          <w:rFonts w:hint="eastAsia" w:ascii="仿宋_GB2312" w:eastAsia="仿宋_GB2312"/>
          <w:sz w:val="32"/>
          <w:szCs w:val="32"/>
        </w:rPr>
        <w:t>，</w:t>
      </w:r>
      <w:r>
        <w:rPr>
          <w:rFonts w:hint="eastAsia" w:ascii="仿宋_GB2312" w:hAnsi="宋体" w:eastAsia="仿宋_GB2312" w:cs="宋体"/>
          <w:sz w:val="32"/>
          <w:szCs w:val="32"/>
        </w:rPr>
        <w:t>最</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大限度提高其风险防范意识</w:t>
      </w:r>
      <w:r>
        <w:rPr>
          <w:rFonts w:hint="eastAsia" w:ascii="仿宋_GB2312" w:eastAsia="仿宋_GB2312"/>
          <w:sz w:val="32"/>
          <w:szCs w:val="32"/>
        </w:rPr>
        <w:t>；</w:t>
      </w:r>
      <w:r>
        <w:rPr>
          <w:rFonts w:hint="eastAsia" w:ascii="仿宋_GB2312" w:hAnsi="宋体" w:eastAsia="仿宋_GB2312" w:cs="宋体"/>
          <w:sz w:val="32"/>
          <w:szCs w:val="32"/>
        </w:rPr>
        <w:t>针对中年人</w:t>
      </w:r>
      <w:r>
        <w:rPr>
          <w:rFonts w:hint="eastAsia" w:ascii="仿宋_GB2312" w:eastAsia="仿宋_GB2312"/>
          <w:sz w:val="32"/>
          <w:szCs w:val="32"/>
        </w:rPr>
        <w:t>、</w:t>
      </w:r>
      <w:r>
        <w:rPr>
          <w:rFonts w:hint="eastAsia" w:ascii="仿宋_GB2312" w:hAnsi="宋体" w:eastAsia="仿宋_GB2312" w:cs="宋体"/>
          <w:sz w:val="32"/>
          <w:szCs w:val="32"/>
        </w:rPr>
        <w:t>企事业单位工作</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人员等群体易被所谓</w:t>
      </w:r>
      <w:r>
        <w:rPr>
          <w:rFonts w:hint="eastAsia" w:ascii="仿宋_GB2312" w:eastAsia="仿宋_GB2312"/>
          <w:sz w:val="32"/>
          <w:szCs w:val="32"/>
        </w:rPr>
        <w:t>“</w:t>
      </w:r>
      <w:r>
        <w:rPr>
          <w:rFonts w:hint="eastAsia" w:ascii="仿宋_GB2312" w:hAnsi="宋体" w:eastAsia="仿宋_GB2312" w:cs="宋体"/>
          <w:sz w:val="32"/>
          <w:szCs w:val="32"/>
        </w:rPr>
        <w:t>国家敢策支持</w:t>
      </w:r>
      <w:r>
        <w:rPr>
          <w:rFonts w:hint="eastAsia" w:ascii="仿宋_GB2312" w:eastAsia="仿宋_GB2312"/>
          <w:sz w:val="32"/>
          <w:szCs w:val="32"/>
        </w:rPr>
        <w:t>”</w:t>
      </w:r>
      <w:r>
        <w:rPr>
          <w:rFonts w:hint="eastAsia" w:ascii="仿宋_GB2312" w:hAnsi="宋体" w:eastAsia="仿宋_GB2312" w:cs="宋体"/>
          <w:sz w:val="32"/>
          <w:szCs w:val="32"/>
        </w:rPr>
        <w:t>等宣传迷惑的特点</w:t>
      </w:r>
      <w:r>
        <w:rPr>
          <w:rFonts w:hint="eastAsia" w:ascii="仿宋_GB2312" w:eastAsia="仿宋_GB2312"/>
          <w:sz w:val="32"/>
          <w:szCs w:val="32"/>
        </w:rPr>
        <w:t>，</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重点揭露非法集资新型犯罪手法</w:t>
      </w:r>
      <w:r>
        <w:rPr>
          <w:rFonts w:hint="eastAsia" w:ascii="仿宋_GB2312" w:eastAsia="仿宋_GB2312"/>
          <w:sz w:val="32"/>
          <w:szCs w:val="32"/>
        </w:rPr>
        <w:t>，</w:t>
      </w:r>
      <w:r>
        <w:rPr>
          <w:rFonts w:hint="eastAsia" w:ascii="仿宋_GB2312" w:hAnsi="宋体" w:eastAsia="仿宋_GB2312" w:cs="宋体"/>
          <w:sz w:val="32"/>
          <w:szCs w:val="32"/>
        </w:rPr>
        <w:t>开展提醒式</w:t>
      </w:r>
      <w:r>
        <w:rPr>
          <w:rFonts w:hint="eastAsia" w:ascii="仿宋_GB2312" w:eastAsia="仿宋_GB2312"/>
          <w:sz w:val="32"/>
          <w:szCs w:val="32"/>
        </w:rPr>
        <w:t>、</w:t>
      </w:r>
      <w:r>
        <w:rPr>
          <w:rFonts w:hint="eastAsia" w:ascii="仿宋_GB2312" w:hAnsi="宋体" w:eastAsia="仿宋_GB2312" w:cs="宋体"/>
          <w:sz w:val="32"/>
          <w:szCs w:val="32"/>
        </w:rPr>
        <w:t>启发性宣传</w:t>
      </w:r>
      <w:r>
        <w:rPr>
          <w:rFonts w:hint="eastAsia" w:ascii="仿宋_GB2312" w:eastAsia="仿宋_GB2312"/>
          <w:sz w:val="32"/>
          <w:szCs w:val="32"/>
        </w:rPr>
        <w:t>，</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提高其非法集资识别能力</w:t>
      </w:r>
      <w:r>
        <w:rPr>
          <w:rFonts w:hint="eastAsia" w:ascii="仿宋_GB2312" w:eastAsia="仿宋_GB2312"/>
          <w:sz w:val="32"/>
          <w:szCs w:val="32"/>
        </w:rPr>
        <w:t>；</w:t>
      </w:r>
      <w:r>
        <w:rPr>
          <w:rFonts w:hint="eastAsia" w:ascii="仿宋_GB2312" w:hAnsi="宋体" w:eastAsia="仿宋_GB2312" w:cs="宋体"/>
          <w:sz w:val="32"/>
          <w:szCs w:val="32"/>
        </w:rPr>
        <w:t>针对年轻人</w:t>
      </w:r>
      <w:r>
        <w:rPr>
          <w:rFonts w:hint="eastAsia" w:ascii="仿宋_GB2312" w:eastAsia="仿宋_GB2312"/>
          <w:sz w:val="32"/>
          <w:szCs w:val="32"/>
        </w:rPr>
        <w:t>、</w:t>
      </w:r>
      <w:r>
        <w:rPr>
          <w:rFonts w:hint="eastAsia" w:ascii="仿宋_GB2312" w:hAnsi="宋体" w:eastAsia="仿宋_GB2312" w:cs="宋体"/>
          <w:sz w:val="32"/>
          <w:szCs w:val="32"/>
        </w:rPr>
        <w:t>大学生博取高利</w:t>
      </w:r>
      <w:r>
        <w:rPr>
          <w:rFonts w:hint="eastAsia" w:ascii="仿宋_GB2312" w:eastAsia="仿宋_GB2312"/>
          <w:sz w:val="32"/>
          <w:szCs w:val="32"/>
        </w:rPr>
        <w:t>、</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虚荣消费的侥幸心理</w:t>
      </w:r>
      <w:r>
        <w:rPr>
          <w:rFonts w:hint="eastAsia" w:ascii="仿宋_GB2312" w:eastAsia="仿宋_GB2312"/>
          <w:sz w:val="32"/>
          <w:szCs w:val="32"/>
        </w:rPr>
        <w:t>，</w:t>
      </w:r>
      <w:r>
        <w:rPr>
          <w:rFonts w:hint="eastAsia" w:ascii="仿宋_GB2312" w:hAnsi="宋体" w:eastAsia="仿宋_GB2312" w:cs="宋体"/>
          <w:sz w:val="32"/>
          <w:szCs w:val="32"/>
        </w:rPr>
        <w:t>采用介绍讲解金融知识</w:t>
      </w:r>
      <w:r>
        <w:rPr>
          <w:rFonts w:hint="eastAsia" w:ascii="仿宋_GB2312" w:eastAsia="仿宋_GB2312"/>
          <w:sz w:val="32"/>
          <w:szCs w:val="32"/>
        </w:rPr>
        <w:t>、</w:t>
      </w:r>
      <w:r>
        <w:rPr>
          <w:rFonts w:hint="eastAsia" w:ascii="仿宋_GB2312" w:hAnsi="宋体" w:eastAsia="仿宋_GB2312" w:cs="宋体"/>
          <w:sz w:val="32"/>
          <w:szCs w:val="32"/>
        </w:rPr>
        <w:t>金融产品等</w:t>
      </w:r>
      <w:r>
        <w:rPr>
          <w:rFonts w:hint="eastAsia" w:ascii="仿宋_GB2312" w:hAnsi="方正小标宋" w:eastAsia="仿宋_GB2312"/>
          <w:sz w:val="32"/>
          <w:szCs w:val="32"/>
        </w:rPr>
        <w:t xml:space="preserve"> </w:t>
      </w:r>
      <w:r>
        <w:rPr>
          <w:rFonts w:hint="eastAsia" w:ascii="仿宋_GB2312" w:hAnsi="宋体" w:eastAsia="仿宋_GB2312" w:cs="宋体"/>
          <w:sz w:val="32"/>
          <w:szCs w:val="32"/>
        </w:rPr>
        <w:t>方式</w:t>
      </w:r>
      <w:r>
        <w:rPr>
          <w:rFonts w:hint="eastAsia" w:ascii="仿宋_GB2312" w:eastAsia="仿宋_GB2312"/>
          <w:sz w:val="32"/>
          <w:szCs w:val="32"/>
        </w:rPr>
        <w:t>，</w:t>
      </w:r>
      <w:r>
        <w:rPr>
          <w:rFonts w:hint="eastAsia" w:ascii="仿宋_GB2312" w:hAnsi="宋体" w:eastAsia="仿宋_GB2312" w:cs="宋体"/>
          <w:sz w:val="32"/>
          <w:szCs w:val="32"/>
        </w:rPr>
        <w:t>进行科普式</w:t>
      </w:r>
      <w:r>
        <w:rPr>
          <w:rFonts w:hint="eastAsia" w:ascii="仿宋_GB2312" w:eastAsia="仿宋_GB2312"/>
          <w:sz w:val="32"/>
          <w:szCs w:val="32"/>
        </w:rPr>
        <w:t>、</w:t>
      </w:r>
      <w:r>
        <w:rPr>
          <w:rFonts w:hint="eastAsia" w:ascii="仿宋_GB2312" w:hAnsi="宋体" w:eastAsia="仿宋_GB2312" w:cs="宋体"/>
          <w:sz w:val="32"/>
          <w:szCs w:val="32"/>
        </w:rPr>
        <w:t>专业性教育</w:t>
      </w:r>
      <w:r>
        <w:rPr>
          <w:rFonts w:hint="eastAsia" w:ascii="仿宋_GB2312" w:eastAsia="仿宋_GB2312"/>
          <w:sz w:val="32"/>
          <w:szCs w:val="32"/>
        </w:rPr>
        <w:t>，</w:t>
      </w:r>
      <w:r>
        <w:rPr>
          <w:rFonts w:hint="eastAsia" w:ascii="仿宋_GB2312" w:hAnsi="宋体" w:eastAsia="仿宋_GB2312" w:cs="宋体"/>
          <w:sz w:val="32"/>
          <w:szCs w:val="32"/>
        </w:rPr>
        <w:t>提高其金融素养</w:t>
      </w:r>
      <w:r>
        <w:rPr>
          <w:rFonts w:hint="eastAsia" w:ascii="仿宋_GB2312" w:eastAsia="仿宋_GB2312"/>
          <w:sz w:val="32"/>
          <w:szCs w:val="32"/>
        </w:rPr>
        <w:t>。</w:t>
      </w:r>
    </w:p>
    <w:p>
      <w:pPr>
        <w:pStyle w:val="6"/>
        <w:shd w:val="clear" w:color="auto" w:fill="auto"/>
        <w:spacing w:line="520" w:lineRule="exact"/>
        <w:ind w:firstLine="640" w:firstLineChars="200"/>
        <w:jc w:val="both"/>
        <w:rPr>
          <w:rFonts w:ascii="仿宋_GB2312" w:eastAsia="仿宋_GB2312"/>
          <w:sz w:val="32"/>
          <w:szCs w:val="32"/>
        </w:rPr>
      </w:pPr>
      <w:r>
        <w:rPr>
          <w:rStyle w:val="9"/>
          <w:rFonts w:hint="eastAsia" w:ascii="宋体" w:hAnsi="宋体" w:eastAsia="宋体" w:cs="宋体"/>
          <w:sz w:val="32"/>
          <w:szCs w:val="32"/>
        </w:rPr>
        <w:t>三要</w:t>
      </w:r>
      <w:r>
        <w:rPr>
          <w:rFonts w:hint="eastAsia" w:ascii="宋体" w:hAnsi="宋体" w:eastAsia="宋体" w:cs="宋体"/>
          <w:sz w:val="32"/>
          <w:szCs w:val="32"/>
        </w:rPr>
        <w:t>注重运用新媒体进行定向式宣传</w:t>
      </w:r>
      <w:r>
        <w:rPr>
          <w:rFonts w:hint="eastAsia" w:ascii="仿宋_GB2312" w:eastAsia="仿宋_GB2312"/>
          <w:sz w:val="32"/>
          <w:szCs w:val="32"/>
        </w:rPr>
        <w:t>。</w:t>
      </w:r>
      <w:r>
        <w:rPr>
          <w:rFonts w:hint="eastAsia" w:ascii="仿宋_GB2312" w:hAnsi="宋体" w:eastAsia="仿宋_GB2312" w:cs="宋体"/>
          <w:sz w:val="32"/>
          <w:szCs w:val="32"/>
        </w:rPr>
        <w:t>要充分利用微信朋友圈</w:t>
      </w:r>
      <w:r>
        <w:rPr>
          <w:rFonts w:hint="eastAsia" w:ascii="仿宋_GB2312" w:eastAsia="仿宋_GB2312"/>
          <w:sz w:val="32"/>
          <w:szCs w:val="32"/>
        </w:rPr>
        <w:t>、</w:t>
      </w:r>
      <w:r>
        <w:rPr>
          <w:rFonts w:hint="eastAsia" w:ascii="仿宋_GB2312" w:hAnsi="宋体" w:eastAsia="仿宋_GB2312" w:cs="宋体"/>
          <w:sz w:val="32"/>
          <w:szCs w:val="32"/>
        </w:rPr>
        <w:t>今日头条</w:t>
      </w:r>
      <w:r>
        <w:rPr>
          <w:rFonts w:hint="eastAsia" w:ascii="仿宋_GB2312" w:eastAsia="仿宋_GB2312"/>
          <w:sz w:val="32"/>
          <w:szCs w:val="32"/>
        </w:rPr>
        <w:t>、</w:t>
      </w:r>
      <w:r>
        <w:rPr>
          <w:rFonts w:hint="eastAsia" w:ascii="仿宋_GB2312" w:hAnsi="宋体" w:eastAsia="仿宋_GB2312" w:cs="宋体"/>
          <w:sz w:val="32"/>
          <w:szCs w:val="32"/>
        </w:rPr>
        <w:t>抖音等大众喜闻乐见的新媒休</w:t>
      </w:r>
      <w:r>
        <w:rPr>
          <w:rFonts w:hint="eastAsia" w:ascii="仿宋_GB2312" w:eastAsia="仿宋_GB2312"/>
          <w:sz w:val="32"/>
          <w:szCs w:val="32"/>
        </w:rPr>
        <w:t>，</w:t>
      </w:r>
      <w:r>
        <w:rPr>
          <w:rFonts w:hint="eastAsia" w:ascii="仿宋_GB2312" w:hAnsi="宋体" w:eastAsia="仿宋_GB2312" w:cs="宋体"/>
          <w:sz w:val="32"/>
          <w:szCs w:val="32"/>
        </w:rPr>
        <w:t>通过大数据手段</w:t>
      </w:r>
      <w:r>
        <w:rPr>
          <w:rFonts w:hint="eastAsia" w:ascii="仿宋_GB2312" w:eastAsia="仿宋_GB2312"/>
          <w:sz w:val="32"/>
          <w:szCs w:val="32"/>
        </w:rPr>
        <w:t>，</w:t>
      </w:r>
      <w:r>
        <w:rPr>
          <w:rFonts w:hint="eastAsia" w:ascii="仿宋_GB2312" w:hAnsi="宋体" w:eastAsia="仿宋_GB2312" w:cs="宋体"/>
          <w:sz w:val="32"/>
          <w:szCs w:val="32"/>
        </w:rPr>
        <w:t>标注中老年人</w:t>
      </w:r>
      <w:r>
        <w:rPr>
          <w:rFonts w:hint="eastAsia" w:ascii="仿宋_GB2312" w:eastAsia="仿宋_GB2312"/>
          <w:sz w:val="32"/>
          <w:szCs w:val="32"/>
        </w:rPr>
        <w:t>、</w:t>
      </w:r>
      <w:r>
        <w:rPr>
          <w:rFonts w:hint="eastAsia" w:ascii="仿宋_GB2312" w:hAnsi="宋体" w:eastAsia="仿宋_GB2312" w:cs="宋体"/>
          <w:sz w:val="32"/>
          <w:szCs w:val="32"/>
        </w:rPr>
        <w:t>投资理财意愿较强等标签人群</w:t>
      </w:r>
      <w:r>
        <w:rPr>
          <w:rFonts w:hint="eastAsia" w:ascii="仿宋_GB2312" w:eastAsia="仿宋_GB2312"/>
          <w:sz w:val="32"/>
          <w:szCs w:val="32"/>
        </w:rPr>
        <w:t>，</w:t>
      </w:r>
      <w:r>
        <w:rPr>
          <w:rFonts w:hint="eastAsia" w:ascii="仿宋_GB2312" w:hAnsi="仿宋" w:eastAsia="仿宋_GB2312"/>
          <w:sz w:val="32"/>
          <w:szCs w:val="32"/>
        </w:rPr>
        <w:t>投放符合该类型人群的定向宣传信息、公益宣传片，实现对受众群体的精准化信息推送。</w:t>
      </w:r>
    </w:p>
    <w:p>
      <w:pPr>
        <w:spacing w:line="520" w:lineRule="exact"/>
        <w:ind w:firstLine="640" w:firstLineChars="200"/>
        <w:rPr>
          <w:rFonts w:ascii="仿宋_GB2312" w:hAnsi="仿宋" w:eastAsia="仿宋_GB2312"/>
          <w:sz w:val="32"/>
          <w:szCs w:val="32"/>
        </w:rPr>
      </w:pPr>
      <w:r>
        <w:rPr>
          <w:rFonts w:hint="eastAsia" w:ascii="宋体" w:hAnsi="宋体"/>
          <w:sz w:val="32"/>
          <w:szCs w:val="32"/>
        </w:rPr>
        <w:t>四要注重打击处置工作震慑式宣传</w:t>
      </w:r>
      <w:r>
        <w:rPr>
          <w:rFonts w:hint="eastAsia" w:ascii="仿宋_GB2312" w:hAnsi="仿宋" w:eastAsia="仿宋_GB2312"/>
          <w:sz w:val="32"/>
          <w:szCs w:val="32"/>
        </w:rPr>
        <w:t>。既要宣传防非知识，也要宣传打非工作，“广而告之”非法集资举报奖励政策和途径，呼吁媒体、群众参与防非打非队伍，形成对非法集资活动的有力震慑、合力围剿，努力营造“人人参与，部门出击，协同发力”的工作格局。</w:t>
      </w:r>
    </w:p>
    <w:p>
      <w:pPr>
        <w:spacing w:line="520" w:lineRule="exact"/>
        <w:ind w:firstLine="643" w:firstLineChars="200"/>
        <w:rPr>
          <w:rFonts w:ascii="黑体" w:hAnsi="黑体" w:eastAsia="黑体" w:cs="宋体"/>
          <w:b/>
          <w:sz w:val="32"/>
          <w:szCs w:val="32"/>
        </w:rPr>
      </w:pPr>
      <w:r>
        <w:rPr>
          <w:rFonts w:hint="eastAsia" w:ascii="黑体" w:hAnsi="黑体" w:eastAsia="黑体" w:cs="宋体"/>
          <w:b/>
          <w:sz w:val="32"/>
          <w:szCs w:val="32"/>
        </w:rPr>
        <w:t>三、突出工作重点，形成宣传网络全域覆盖</w:t>
      </w:r>
    </w:p>
    <w:p>
      <w:pPr>
        <w:spacing w:line="52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(一)抓好“两个针对”，做实做细重点部署。</w:t>
      </w:r>
    </w:p>
    <w:p>
      <w:pPr>
        <w:spacing w:line="520" w:lineRule="exact"/>
        <w:ind w:firstLine="640" w:firstLineChars="200"/>
        <w:rPr>
          <w:rFonts w:ascii="仿宋_GB2312" w:hAnsi="仿宋" w:eastAsia="仿宋_GB2312"/>
          <w:sz w:val="32"/>
          <w:szCs w:val="32"/>
        </w:rPr>
      </w:pPr>
      <w:r>
        <w:rPr>
          <w:rFonts w:hint="eastAsia" w:ascii="宋体" w:hAnsi="宋体"/>
          <w:sz w:val="32"/>
          <w:szCs w:val="32"/>
        </w:rPr>
        <w:t>一是针对重点领域，分类宣传</w:t>
      </w:r>
      <w:r>
        <w:rPr>
          <w:rFonts w:hint="eastAsia" w:ascii="仿宋_GB2312" w:hAnsi="仿宋" w:eastAsia="仿宋_GB2312"/>
          <w:sz w:val="32"/>
          <w:szCs w:val="32"/>
        </w:rPr>
        <w:t>。将民间投融资中介、网络借贷、私募基金、影视文化、批发零售、电子商务、房地产、交易场所、各类涉农合作组织，养老服务等作为重点领域，通过普及行业法律政策、举办金融知识讲座、以案说法警示教育等多种形式，对比各行业合法合规行为，揭露非法集资违法犯罪手法和主要特点，宣传防范非法集资知识，提升公众风险防范意识。</w:t>
      </w:r>
    </w:p>
    <w:p>
      <w:pPr>
        <w:spacing w:line="520" w:lineRule="exact"/>
        <w:ind w:firstLine="640" w:firstLineChars="200"/>
        <w:rPr>
          <w:rFonts w:ascii="仿宋_GB2312" w:hAnsi="仿宋" w:eastAsia="仿宋_GB2312"/>
          <w:sz w:val="32"/>
          <w:szCs w:val="32"/>
        </w:rPr>
      </w:pPr>
      <w:r>
        <w:rPr>
          <w:rFonts w:hint="eastAsia" w:ascii="宋体" w:hAnsi="宋体"/>
          <w:sz w:val="32"/>
          <w:szCs w:val="32"/>
        </w:rPr>
        <w:t>二是针对重点区域，因地制宜</w:t>
      </w:r>
      <w:r>
        <w:rPr>
          <w:rFonts w:hint="eastAsia" w:ascii="仿宋_GB2312" w:hAnsi="仿宋" w:eastAsia="仿宋_GB2312"/>
          <w:sz w:val="32"/>
          <w:szCs w:val="32"/>
        </w:rPr>
        <w:t>。结合正在开展的非法集资风险排查活动，对辖内各区域进行风险等级标注，重点侧重商务写字楼、高新技术开发区、城乡结合部、 拆迁区、农村地区等非法集资高发易发地区或处非薄弱环节，结合区域非法集资高发类型，开展有侧重性的社会面风险提示和宣传教育。</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(二)巩固“三个阵地”，形成全网宣传格局。</w:t>
      </w:r>
    </w:p>
    <w:p>
      <w:pPr>
        <w:widowControl/>
        <w:spacing w:line="520" w:lineRule="exact"/>
        <w:ind w:firstLine="640" w:firstLineChars="200"/>
        <w:jc w:val="left"/>
        <w:rPr>
          <w:rFonts w:ascii="仿宋_GB2312" w:hAnsi="宋体" w:eastAsia="仿宋_GB2312" w:cs="宋体"/>
          <w:kern w:val="0"/>
          <w:sz w:val="32"/>
          <w:szCs w:val="32"/>
        </w:rPr>
      </w:pPr>
      <w:r>
        <w:rPr>
          <w:rFonts w:hint="eastAsia" w:ascii="宋体" w:hAnsi="宋体" w:cs="宋体"/>
          <w:kern w:val="0"/>
          <w:sz w:val="32"/>
          <w:szCs w:val="32"/>
        </w:rPr>
        <w:t>一是巩固基层宣传阵地</w:t>
      </w:r>
      <w:r>
        <w:rPr>
          <w:rFonts w:hint="eastAsia" w:ascii="仿宋_GB2312" w:hAnsi="宋体" w:eastAsia="仿宋_GB2312" w:cs="宋体"/>
          <w:kern w:val="0"/>
          <w:sz w:val="32"/>
          <w:szCs w:val="32"/>
        </w:rPr>
        <w:t>。要强化统筹协调，充分发挥各相关部门、各行业协会、各金融机构、各企业集团的作用，利用好驻村干部、扶贫干部、网格员、银行客户经理、保险业务员等工作力量，广泛借力邮政部门、银行机构等基层网点优势，布局多层级线下宣传阵地，形成“走街串巷”“叠门入户”遍地都有防非打非宣传的工作效果。</w:t>
      </w:r>
    </w:p>
    <w:p>
      <w:pPr>
        <w:spacing w:line="360" w:lineRule="auto"/>
        <w:ind w:firstLine="640" w:firstLineChars="200"/>
        <w:rPr>
          <w:rFonts w:ascii="仿宋_GB2312" w:eastAsia="仿宋_GB2312"/>
          <w:sz w:val="32"/>
          <w:szCs w:val="32"/>
        </w:rPr>
      </w:pPr>
      <w:r>
        <w:rPr>
          <w:rFonts w:hint="eastAsia" w:ascii="宋体" w:hAnsi="宋体" w:cs="宋体"/>
          <w:kern w:val="0"/>
          <w:sz w:val="32"/>
          <w:szCs w:val="32"/>
        </w:rPr>
        <w:t>二是巩固媒体宣传阵地。</w:t>
      </w:r>
      <w:r>
        <w:rPr>
          <w:rFonts w:hint="eastAsia" w:ascii="仿宋_GB2312" w:hAnsi="宋体" w:eastAsia="仿宋_GB2312" w:cs="宋体"/>
          <w:kern w:val="0"/>
          <w:sz w:val="32"/>
          <w:szCs w:val="32"/>
        </w:rPr>
        <w:t>要固守电视、广播、报纸、网络等主流媒体宣传阵地，广泛利用金融网点、商场、车站、户外屏幕及公共交通工具等载体，积极拓展微信、手机客户端等移动宣传网络，有效占领各类媒体和载体宣传空间，挤压非法集资资讯信息传播渠道。</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宋体" w:hAnsi="宋体" w:cs="宋体"/>
          <w:kern w:val="0"/>
          <w:sz w:val="32"/>
          <w:szCs w:val="32"/>
        </w:rPr>
        <w:t xml:space="preserve"> 三是巩固行业宣传阵地</w:t>
      </w:r>
      <w:r>
        <w:rPr>
          <w:rFonts w:hint="eastAsia" w:ascii="仿宋_GB2312" w:hAnsi="宋体" w:eastAsia="仿宋_GB2312" w:cs="宋体"/>
          <w:kern w:val="0"/>
          <w:sz w:val="32"/>
          <w:szCs w:val="32"/>
        </w:rPr>
        <w:t>。要与公安机关“5.15打击和防范经济犯罪宣传日”，人民银行金融消费者权益保护宣传、“金融知识万里行”，金融监管部门投资理财知识普及，司法行政部门普法宣传等各类活动密切结合起来，最大限度宣传防范非法集资知识，努力形成同向聚力，精准聚集，齐声合唱的宣传格局。</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spacing w:line="360" w:lineRule="auto"/>
        <w:ind w:firstLine="640" w:firstLineChars="200"/>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附件: 2019 年防范非法集资宣传月活动情况统计表</w:t>
      </w:r>
    </w:p>
    <w:p>
      <w:pPr>
        <w:spacing w:line="360" w:lineRule="auto"/>
        <w:rPr>
          <w:rFonts w:ascii="仿宋_GB2312" w:eastAsia="仿宋_GB2312"/>
          <w:sz w:val="32"/>
          <w:szCs w:val="32"/>
        </w:rPr>
      </w:pPr>
      <w:r>
        <w:rPr>
          <w:rFonts w:hint="eastAsia" w:ascii="仿宋_GB2312" w:eastAsia="仿宋_GB2312"/>
          <w:sz w:val="32"/>
          <w:szCs w:val="32"/>
        </w:rPr>
        <w:t xml:space="preserve">     </w:t>
      </w:r>
    </w:p>
    <w:p>
      <w:pPr>
        <w:spacing w:line="360" w:lineRule="auto"/>
        <w:jc w:val="right"/>
        <w:rPr>
          <w:rFonts w:ascii="仿宋_GB2312" w:eastAsia="仿宋_GB2312"/>
          <w:sz w:val="32"/>
          <w:szCs w:val="32"/>
        </w:rPr>
      </w:pPr>
      <w:r>
        <w:rPr>
          <w:rFonts w:hint="eastAsia" w:ascii="仿宋_GB2312" w:eastAsia="仿宋_GB2312"/>
          <w:sz w:val="32"/>
          <w:szCs w:val="32"/>
        </w:rPr>
        <w:t>山东省防范和处置非法集资工作领导小组办公室</w:t>
      </w:r>
    </w:p>
    <w:p>
      <w:pPr>
        <w:spacing w:line="360" w:lineRule="auto"/>
        <w:ind w:right="1280"/>
        <w:jc w:val="center"/>
        <w:rPr>
          <w:rFonts w:hint="eastAsia" w:ascii="仿宋_GB2312" w:eastAsia="仿宋_GB2312"/>
          <w:sz w:val="32"/>
          <w:szCs w:val="32"/>
          <w:lang w:eastAsia="zh-CN"/>
        </w:rPr>
      </w:pPr>
      <w:r>
        <w:rPr>
          <w:rFonts w:ascii="仿宋_GB2312" w:eastAsia="仿宋_GB2312"/>
          <w:sz w:val="32"/>
          <w:szCs w:val="32"/>
        </w:rPr>
        <w:t xml:space="preserve">          </w:t>
      </w:r>
      <w:r>
        <w:rPr>
          <w:rFonts w:hint="eastAsia" w:ascii="仿宋_GB2312" w:eastAsia="仿宋_GB2312"/>
          <w:sz w:val="32"/>
          <w:szCs w:val="32"/>
        </w:rPr>
        <w:t xml:space="preserve">     2019年4月24日办公</w:t>
      </w:r>
      <w:r>
        <w:rPr>
          <w:rFonts w:hint="eastAsia" w:ascii="仿宋_GB2312" w:eastAsia="仿宋_GB2312"/>
          <w:sz w:val="32"/>
          <w:szCs w:val="32"/>
          <w:lang w:eastAsia="zh-CN"/>
        </w:rPr>
        <w:t>室</w:t>
      </w:r>
    </w:p>
    <w:p>
      <w:pPr>
        <w:rPr>
          <w:rFonts w:ascii="黑体" w:hAnsi="黑体" w:eastAsia="黑体" w:cs="黑体"/>
          <w:sz w:val="28"/>
          <w:szCs w:val="28"/>
        </w:rPr>
        <w:sectPr>
          <w:pgSz w:w="11906" w:h="16838"/>
          <w:pgMar w:top="1701" w:right="1588" w:bottom="1134" w:left="1588" w:header="851" w:footer="992" w:gutter="0"/>
          <w:cols w:space="425"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附件</w:t>
      </w:r>
    </w:p>
    <w:p>
      <w:pPr>
        <w:jc w:val="center"/>
        <w:rPr>
          <w:rFonts w:ascii="方正小标宋简体" w:eastAsia="方正小标宋简体"/>
        </w:rPr>
      </w:pPr>
      <w:r>
        <w:rPr>
          <w:rFonts w:hint="eastAsia" w:ascii="方正小标宋简体" w:hAnsi="黑体" w:eastAsia="方正小标宋简体" w:cs="黑体"/>
          <w:sz w:val="36"/>
          <w:szCs w:val="36"/>
        </w:rPr>
        <w:t>2019年山东</w:t>
      </w:r>
      <w:r>
        <w:rPr>
          <w:rFonts w:hint="eastAsia" w:ascii="方正小标宋简体" w:hAnsi="黑体" w:eastAsia="方正小标宋简体" w:cs="黑体"/>
          <w:sz w:val="36"/>
          <w:szCs w:val="36"/>
          <w:lang w:val="en-US" w:eastAsia="zh-CN"/>
        </w:rPr>
        <w:t>农业大学</w:t>
      </w:r>
      <w:r>
        <w:rPr>
          <w:rFonts w:hint="eastAsia" w:ascii="方正小标宋简体" w:hAnsi="黑体" w:eastAsia="方正小标宋简体" w:cs="黑体"/>
          <w:sz w:val="36"/>
          <w:szCs w:val="36"/>
        </w:rPr>
        <w:t>防范非法集资宣传月活动情况统计表</w:t>
      </w:r>
    </w:p>
    <w:p>
      <w:pPr>
        <w:rPr>
          <w:rFonts w:ascii="仿宋_GB2312" w:hAnsi="仿宋_GB2312" w:eastAsia="仿宋_GB2312" w:cs="仿宋_GB2312"/>
        </w:rPr>
      </w:pPr>
      <w:r>
        <w:rPr>
          <w:rFonts w:hint="eastAsia" w:ascii="仿宋_GB2312" w:hAnsi="仿宋_GB2312" w:eastAsia="仿宋_GB2312" w:cs="仿宋_GB2312"/>
          <w:lang w:eastAsia="zh-CN"/>
        </w:rPr>
        <w:t>学院</w:t>
      </w:r>
      <w:r>
        <w:rPr>
          <w:rFonts w:hint="eastAsia" w:ascii="仿宋_GB2312" w:hAnsi="仿宋_GB2312" w:eastAsia="仿宋_GB2312" w:cs="仿宋_GB2312"/>
        </w:rPr>
        <w:t>：</w:t>
      </w:r>
    </w:p>
    <w:tbl>
      <w:tblPr>
        <w:tblStyle w:val="3"/>
        <w:tblW w:w="14807" w:type="dxa"/>
        <w:jc w:val="center"/>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gridCol w:w="3457"/>
        <w:gridCol w:w="3773"/>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4807" w:type="dxa"/>
            <w:gridSpan w:val="4"/>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“六进”集中宣讲活动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3712" w:type="dxa"/>
            <w:vAlign w:val="center"/>
          </w:tcPr>
          <w:p>
            <w:pPr>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学院会操</w:t>
            </w:r>
          </w:p>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（次）</w:t>
            </w:r>
          </w:p>
        </w:tc>
        <w:tc>
          <w:tcPr>
            <w:tcW w:w="3457" w:type="dxa"/>
            <w:vAlign w:val="center"/>
          </w:tcPr>
          <w:p>
            <w:pPr>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参与同学</w:t>
            </w:r>
          </w:p>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（人次）</w:t>
            </w:r>
          </w:p>
        </w:tc>
        <w:tc>
          <w:tcPr>
            <w:tcW w:w="3773" w:type="dxa"/>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进团支部</w:t>
            </w:r>
          </w:p>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（次）</w:t>
            </w:r>
          </w:p>
        </w:tc>
        <w:tc>
          <w:tcPr>
            <w:tcW w:w="3865" w:type="dxa"/>
            <w:vAlign w:val="center"/>
          </w:tcPr>
          <w:p>
            <w:pPr>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参与团员</w:t>
            </w:r>
          </w:p>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3712" w:type="dxa"/>
            <w:vAlign w:val="center"/>
          </w:tcPr>
          <w:p>
            <w:pPr>
              <w:jc w:val="center"/>
              <w:rPr>
                <w:rFonts w:ascii="仿宋_GB2312" w:hAnsi="仿宋_GB2312" w:eastAsia="仿宋_GB2312" w:cs="仿宋_GB2312"/>
                <w:kern w:val="0"/>
                <w:sz w:val="20"/>
                <w:szCs w:val="20"/>
              </w:rPr>
            </w:pPr>
          </w:p>
        </w:tc>
        <w:tc>
          <w:tcPr>
            <w:tcW w:w="3457" w:type="dxa"/>
            <w:vAlign w:val="center"/>
          </w:tcPr>
          <w:p>
            <w:pPr>
              <w:jc w:val="center"/>
              <w:rPr>
                <w:rFonts w:ascii="仿宋_GB2312" w:hAnsi="仿宋_GB2312" w:eastAsia="仿宋_GB2312" w:cs="仿宋_GB2312"/>
                <w:kern w:val="0"/>
                <w:sz w:val="20"/>
                <w:szCs w:val="20"/>
              </w:rPr>
            </w:pPr>
          </w:p>
        </w:tc>
        <w:tc>
          <w:tcPr>
            <w:tcW w:w="3773" w:type="dxa"/>
            <w:vAlign w:val="center"/>
          </w:tcPr>
          <w:p>
            <w:pPr>
              <w:jc w:val="center"/>
              <w:rPr>
                <w:rFonts w:ascii="仿宋_GB2312" w:hAnsi="仿宋_GB2312" w:eastAsia="仿宋_GB2312" w:cs="仿宋_GB2312"/>
                <w:kern w:val="0"/>
                <w:sz w:val="20"/>
                <w:szCs w:val="20"/>
              </w:rPr>
            </w:pPr>
          </w:p>
        </w:tc>
        <w:tc>
          <w:tcPr>
            <w:tcW w:w="3865" w:type="dxa"/>
            <w:vAlign w:val="center"/>
          </w:tcPr>
          <w:p>
            <w:pPr>
              <w:jc w:val="center"/>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4807" w:type="dxa"/>
            <w:gridSpan w:val="4"/>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媒体宣传报道情况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3712" w:type="dxa"/>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公众号名称</w:t>
            </w:r>
          </w:p>
        </w:tc>
        <w:tc>
          <w:tcPr>
            <w:tcW w:w="3457" w:type="dxa"/>
            <w:vAlign w:val="center"/>
          </w:tcPr>
          <w:p>
            <w:pPr>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公众号账号</w:t>
            </w:r>
          </w:p>
        </w:tc>
        <w:tc>
          <w:tcPr>
            <w:tcW w:w="7638" w:type="dxa"/>
            <w:gridSpan w:val="2"/>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宣传链接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3712" w:type="dxa"/>
            <w:vAlign w:val="center"/>
          </w:tcPr>
          <w:p>
            <w:pPr>
              <w:jc w:val="center"/>
              <w:rPr>
                <w:rFonts w:ascii="仿宋_GB2312" w:hAnsi="仿宋_GB2312" w:eastAsia="仿宋_GB2312" w:cs="仿宋_GB2312"/>
                <w:kern w:val="0"/>
                <w:sz w:val="20"/>
                <w:szCs w:val="20"/>
              </w:rPr>
            </w:pPr>
          </w:p>
        </w:tc>
        <w:tc>
          <w:tcPr>
            <w:tcW w:w="3457" w:type="dxa"/>
            <w:vAlign w:val="center"/>
          </w:tcPr>
          <w:p>
            <w:pPr>
              <w:jc w:val="center"/>
              <w:rPr>
                <w:rFonts w:ascii="仿宋_GB2312" w:hAnsi="仿宋_GB2312" w:eastAsia="仿宋_GB2312" w:cs="仿宋_GB2312"/>
                <w:kern w:val="0"/>
                <w:sz w:val="20"/>
                <w:szCs w:val="20"/>
              </w:rPr>
            </w:pPr>
          </w:p>
        </w:tc>
        <w:tc>
          <w:tcPr>
            <w:tcW w:w="7638" w:type="dxa"/>
            <w:gridSpan w:val="2"/>
            <w:vAlign w:val="center"/>
          </w:tcPr>
          <w:p>
            <w:pPr>
              <w:jc w:val="center"/>
              <w:rPr>
                <w:rFonts w:ascii="仿宋_GB2312" w:hAnsi="仿宋_GB2312" w:eastAsia="仿宋_GB2312" w:cs="仿宋_GB2312"/>
                <w:kern w:val="0"/>
                <w:sz w:val="20"/>
                <w:szCs w:val="20"/>
              </w:rPr>
            </w:pPr>
          </w:p>
        </w:tc>
      </w:tr>
    </w:tbl>
    <w:p>
      <w:pPr>
        <w:widowControl/>
        <w:ind w:firstLine="1050" w:firstLineChars="500"/>
        <w:jc w:val="left"/>
        <w:rPr>
          <w:rFonts w:hint="eastAsia" w:ascii="仿宋_GB2312" w:hAnsi="仿宋_GB2312" w:eastAsia="仿宋_GB2312" w:cs="仿宋_GB2312"/>
        </w:rPr>
      </w:pPr>
    </w:p>
    <w:sectPr>
      <w:pgSz w:w="16838" w:h="11906" w:orient="landscape"/>
      <w:pgMar w:top="1588" w:right="1701" w:bottom="158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
    <w:altName w:val="Times New Roman"/>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6E"/>
    <w:rsid w:val="00622C65"/>
    <w:rsid w:val="007049A7"/>
    <w:rsid w:val="0070761C"/>
    <w:rsid w:val="00757B3A"/>
    <w:rsid w:val="008628EF"/>
    <w:rsid w:val="008A20CB"/>
    <w:rsid w:val="00A27F06"/>
    <w:rsid w:val="00B905C1"/>
    <w:rsid w:val="00BE7476"/>
    <w:rsid w:val="00C43694"/>
    <w:rsid w:val="00C67797"/>
    <w:rsid w:val="00D023EC"/>
    <w:rsid w:val="00DC696E"/>
    <w:rsid w:val="00EA788D"/>
    <w:rsid w:val="053F6BED"/>
    <w:rsid w:val="1CD3152E"/>
    <w:rsid w:val="6A81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Body text|2_"/>
    <w:basedOn w:val="4"/>
    <w:link w:val="6"/>
    <w:qFormat/>
    <w:uiPriority w:val="0"/>
    <w:rPr>
      <w:rFonts w:ascii="PMingLiU" w:hAnsi="PMingLiU" w:eastAsia="PMingLiU" w:cs="PMingLiU"/>
      <w:color w:val="000000"/>
      <w:sz w:val="15"/>
      <w:szCs w:val="15"/>
      <w:shd w:val="clear" w:color="auto" w:fill="FFFFFF"/>
      <w:lang w:val="zh-CN" w:bidi="zh-CN"/>
    </w:rPr>
  </w:style>
  <w:style w:type="paragraph" w:customStyle="1" w:styleId="6">
    <w:name w:val="Body text|2"/>
    <w:basedOn w:val="1"/>
    <w:link w:val="5"/>
    <w:qFormat/>
    <w:uiPriority w:val="0"/>
    <w:pPr>
      <w:shd w:val="clear" w:color="auto" w:fill="FFFFFF"/>
      <w:spacing w:line="276" w:lineRule="exact"/>
      <w:jc w:val="distribute"/>
    </w:pPr>
    <w:rPr>
      <w:rFonts w:ascii="PMingLiU" w:hAnsi="PMingLiU" w:eastAsia="PMingLiU" w:cs="PMingLiU"/>
      <w:color w:val="000000"/>
      <w:sz w:val="15"/>
      <w:szCs w:val="15"/>
      <w:lang w:val="zh-CN" w:bidi="zh-CN"/>
    </w:rPr>
  </w:style>
  <w:style w:type="character" w:customStyle="1" w:styleId="7">
    <w:name w:val="Body text|3_"/>
    <w:basedOn w:val="4"/>
    <w:link w:val="8"/>
    <w:qFormat/>
    <w:uiPriority w:val="0"/>
    <w:rPr>
      <w:rFonts w:ascii="PMingLiU" w:hAnsi="PMingLiU" w:eastAsia="PMingLiU" w:cs="PMingLiU"/>
      <w:color w:val="000000"/>
      <w:sz w:val="15"/>
      <w:szCs w:val="15"/>
      <w:shd w:val="clear" w:color="auto" w:fill="FFFFFF"/>
      <w:lang w:val="zh-CN" w:bidi="zh-CN"/>
    </w:rPr>
  </w:style>
  <w:style w:type="paragraph" w:customStyle="1" w:styleId="8">
    <w:name w:val="Body text|3"/>
    <w:basedOn w:val="1"/>
    <w:link w:val="7"/>
    <w:qFormat/>
    <w:uiPriority w:val="0"/>
    <w:pPr>
      <w:shd w:val="clear" w:color="auto" w:fill="FFFFFF"/>
      <w:spacing w:line="291" w:lineRule="exact"/>
      <w:ind w:firstLine="360"/>
      <w:jc w:val="left"/>
    </w:pPr>
    <w:rPr>
      <w:rFonts w:ascii="PMingLiU" w:hAnsi="PMingLiU" w:eastAsia="PMingLiU" w:cs="PMingLiU"/>
      <w:color w:val="000000"/>
      <w:sz w:val="15"/>
      <w:szCs w:val="15"/>
      <w:lang w:val="zh-CN" w:bidi="zh-CN"/>
    </w:rPr>
  </w:style>
  <w:style w:type="character" w:customStyle="1" w:styleId="9">
    <w:name w:val="Body text|2 + 6.5 pt"/>
    <w:basedOn w:val="5"/>
    <w:qFormat/>
    <w:uiPriority w:val="0"/>
    <w:rPr>
      <w:rFonts w:ascii="Times New Roman" w:hAnsi="Times New Roman" w:eastAsia="Times New Roman" w:cs="Times New Roman"/>
      <w:color w:val="000000"/>
      <w:sz w:val="13"/>
      <w:szCs w:val="13"/>
      <w:shd w:val="clear" w:color="auto" w:fill="FFFFFF"/>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520</Words>
  <Characters>2964</Characters>
  <Lines>24</Lines>
  <Paragraphs>6</Paragraphs>
  <TotalTime>11</TotalTime>
  <ScaleCrop>false</ScaleCrop>
  <LinksUpToDate>false</LinksUpToDate>
  <CharactersWithSpaces>3478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2019-05-13T14:00:00Z</dcterms:created>
  <dc:creator>guo baoliang</dc:creator>
  <cp:lastModifiedBy>nxytw</cp:lastModifiedBy>
  <dcterms:modified xsi:type="dcterms:W3CDTF">2019-05-14T10:24:40Z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